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EB2321" w14:textId="77777777" w:rsidR="00840794" w:rsidRPr="00505A57" w:rsidRDefault="00840794" w:rsidP="00840794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 w:rsidRPr="007B4278">
        <w:rPr>
          <w:b/>
          <w:bCs/>
        </w:rPr>
        <w:t>Obszar</w:t>
      </w:r>
      <w:r w:rsidRPr="00505A57">
        <w:rPr>
          <w:b/>
          <w:bCs/>
          <w:sz w:val="20"/>
          <w:szCs w:val="20"/>
        </w:rPr>
        <w:t xml:space="preserve"> </w:t>
      </w:r>
      <w:r w:rsidRPr="007B4278">
        <w:rPr>
          <w:b/>
          <w:bCs/>
        </w:rPr>
        <w:t>badań</w:t>
      </w:r>
    </w:p>
    <w:p w14:paraId="70084717" w14:textId="7D9D8EB4" w:rsidR="00382460" w:rsidRDefault="00382460" w:rsidP="00382460">
      <w:pPr>
        <w:ind w:left="360"/>
        <w:jc w:val="both"/>
        <w:rPr>
          <w:sz w:val="20"/>
          <w:szCs w:val="20"/>
        </w:rPr>
      </w:pPr>
      <w:r w:rsidRPr="00382460">
        <w:rPr>
          <w:sz w:val="20"/>
          <w:szCs w:val="20"/>
        </w:rPr>
        <w:t xml:space="preserve">Badania geofizyczne przeprowadzono na terenie miasta Działoszyce, położonego w południowej części województwa świętokrzyskiego, w powiecie pińczowskim. Miejscowość zlokalizowana jest </w:t>
      </w:r>
      <w:r w:rsidR="000B32A0">
        <w:rPr>
          <w:sz w:val="20"/>
          <w:szCs w:val="20"/>
        </w:rPr>
        <w:br/>
      </w:r>
      <w:r w:rsidRPr="00382460">
        <w:rPr>
          <w:sz w:val="20"/>
          <w:szCs w:val="20"/>
        </w:rPr>
        <w:t>w widłach rzek Jakubówka i Sancygniówka, będącej dopływem Nidzicy. Obszar ten charakteryzuje się długą i dobrze udokumentowaną historią osadniczą, sięgającą co najmniej XIII wieku, o czym świadczą najstarsze źródła pisane.</w:t>
      </w:r>
      <w:r>
        <w:rPr>
          <w:sz w:val="20"/>
          <w:szCs w:val="20"/>
        </w:rPr>
        <w:t xml:space="preserve"> </w:t>
      </w:r>
      <w:r w:rsidRPr="00382460">
        <w:rPr>
          <w:sz w:val="20"/>
          <w:szCs w:val="20"/>
        </w:rPr>
        <w:t>W wyniku III rozbioru Polski w 1795 roku, Działoszyce znalazły się w granicach monarchii Habsburgów, pozostając w zaborze austriackim przez dwanaście lat. W latach 1807–1815 miejscowość należała do Księstwa Warszawskiego, a od 1815 roku – w wyniku postanowień kongresu wiedeńskiego – została włączona do Imperium Rosyjskiego, w którym pozostała przez ponad sto lat. Bliskość granicy z Austrią oraz sąsiedztwo Rzeczypospolitej Krakowskiej sprzyjały rozwojowi osadnictwa, w tym intensyfikacji osadnictwa żydowskiego, szczególnie w XIX wieku.</w:t>
      </w:r>
      <w:r>
        <w:rPr>
          <w:sz w:val="20"/>
          <w:szCs w:val="20"/>
        </w:rPr>
        <w:t xml:space="preserve"> </w:t>
      </w:r>
      <w:r w:rsidRPr="00382460">
        <w:rPr>
          <w:sz w:val="20"/>
          <w:szCs w:val="20"/>
        </w:rPr>
        <w:t>W okresie II Rzeczypospolitej Działoszyce funkcjonowały jako lokalny ośrodek handlu płodami rolnymi (głównie zbożem, drobiem i trzodą chlewną). Działało tu również kilka niewielkich zakładów przemysłowych. Według spisu z 1921 roku, miasto liczyło 6755 mieszkańców, z czego około 80% stanowili Żydzi. Do 1939 roku liczba ludności zmniejszyła się do 5872 osób.</w:t>
      </w:r>
      <w:r>
        <w:rPr>
          <w:sz w:val="20"/>
          <w:szCs w:val="20"/>
        </w:rPr>
        <w:t xml:space="preserve"> </w:t>
      </w:r>
      <w:r w:rsidRPr="00382460">
        <w:rPr>
          <w:sz w:val="20"/>
          <w:szCs w:val="20"/>
        </w:rPr>
        <w:t>W czasie okupacji niemieckiej doszło do eksterminacji społeczności żydowskiej. Po włączeniu Górnego Śląska do III Rzeszy wielu Żydów oraz Polaków przemieszczało się w kierunku Generalnej Guberni, co skutkowało wzrostem liczby ludności w rejonie Działoszyc. 2 września 1942 roku do miasta przybyły jednostki Gestapo z Miechowa, wydając rozkaz zgromadzenia całej ludności żydowskiej – zarówno z Działoszyc, jak i pobliskich miejscowości – na rynku miejskim. Do końca dnia zebrało się tam około 10 000 osób.</w:t>
      </w:r>
      <w:r>
        <w:rPr>
          <w:sz w:val="20"/>
          <w:szCs w:val="20"/>
        </w:rPr>
        <w:t xml:space="preserve"> Trzeciego</w:t>
      </w:r>
      <w:r w:rsidRPr="00382460">
        <w:rPr>
          <w:sz w:val="20"/>
          <w:szCs w:val="20"/>
        </w:rPr>
        <w:t xml:space="preserve"> września wydano rozkaz przetransportowania zgromadzonych do punktu zbornego pod Miechowem, a następnie – głównie – do obozu zagłady w Bełżcu. Większość osób skierowano pieszo na stację kolejową. Około 1500 osób, w tym osoby starsze oraz niezdolne do poruszania się, załadowano na wozy konne </w:t>
      </w:r>
      <w:r w:rsidR="00075B04">
        <w:rPr>
          <w:sz w:val="20"/>
          <w:szCs w:val="20"/>
        </w:rPr>
        <w:br/>
      </w:r>
      <w:r w:rsidRPr="00382460">
        <w:rPr>
          <w:sz w:val="20"/>
          <w:szCs w:val="20"/>
        </w:rPr>
        <w:t>i samochody ciężarowe, po czym przewieziono na cmentarz żydowski, gdzie zostali rozstrzelani. Ich ciała pochowano w trzech zbiorowych mogiłach.</w:t>
      </w:r>
      <w:r>
        <w:rPr>
          <w:sz w:val="20"/>
          <w:szCs w:val="20"/>
        </w:rPr>
        <w:t xml:space="preserve"> </w:t>
      </w:r>
      <w:r w:rsidRPr="00382460">
        <w:rPr>
          <w:sz w:val="20"/>
          <w:szCs w:val="20"/>
        </w:rPr>
        <w:t xml:space="preserve">W kolejnych dniach żołnierze niemieccy przeszukiwali domy opuszczone przez ludność żydowską, konfiskując i wywożąc mienie ruchome. Deportacje i eksterminacja doprowadziły do niemal całkowitego zaniku społeczności żydowskiej </w:t>
      </w:r>
      <w:r w:rsidR="00075B04">
        <w:rPr>
          <w:sz w:val="20"/>
          <w:szCs w:val="20"/>
        </w:rPr>
        <w:br/>
      </w:r>
      <w:r w:rsidRPr="00382460">
        <w:rPr>
          <w:sz w:val="20"/>
          <w:szCs w:val="20"/>
        </w:rPr>
        <w:t>w Działoszycach oraz znaczącego spadku liczby ludności – po zakończeniu działań wojennych miasto liczyło mniej niż dwa tysiące mieszkańców.</w:t>
      </w:r>
    </w:p>
    <w:p w14:paraId="00304AB4" w14:textId="207892AB" w:rsidR="00226C00" w:rsidRDefault="00226C00" w:rsidP="00226C00">
      <w:pPr>
        <w:ind w:left="360"/>
        <w:jc w:val="both"/>
        <w:rPr>
          <w:sz w:val="20"/>
          <w:szCs w:val="20"/>
        </w:rPr>
      </w:pPr>
      <w:r w:rsidRPr="00226C00">
        <w:rPr>
          <w:sz w:val="20"/>
          <w:szCs w:val="20"/>
        </w:rPr>
        <w:t xml:space="preserve">Budowa geologiczna warstw przypowierzchniowych w rejonie Działoszyc zdominowana jest przez plejstoceńskie utwory eoliczne, głównie pokrywy lessowe i pyłowe. Ich miąższość wynosi przeciętnie od kilku do kilkunastu metrów, przy czym wykazują one znaczną zmienność morfologiczną zarówno </w:t>
      </w:r>
      <w:r w:rsidR="000B32A0">
        <w:rPr>
          <w:sz w:val="20"/>
          <w:szCs w:val="20"/>
        </w:rPr>
        <w:br/>
      </w:r>
      <w:r w:rsidRPr="00226C00">
        <w:rPr>
          <w:sz w:val="20"/>
          <w:szCs w:val="20"/>
        </w:rPr>
        <w:t>w skali regionalnej, jak i lokalnej. Uzupełnieniem obrazu geologicznego są doliny płaskodenne rzek Jakubówki, Sancygniówki oraz Nidzicy, których osady stanowią holoceńskie piaski rzeczne i namuły wypełniające tarasy zalewowe oraz dna dolin. Osady te graniczą z polodowcowymi glinami zwałowymi związanymi z kompleksami glacjalnymi południowej Polski.</w:t>
      </w:r>
      <w:r>
        <w:rPr>
          <w:sz w:val="20"/>
          <w:szCs w:val="20"/>
        </w:rPr>
        <w:t xml:space="preserve"> </w:t>
      </w:r>
      <w:r w:rsidRPr="00226C00">
        <w:rPr>
          <w:sz w:val="20"/>
          <w:szCs w:val="20"/>
        </w:rPr>
        <w:t>W podłożu mogą lokalnie występować wychodnie gipsów lub anhydrytów wieku mioceńskiego, często w asocjacji z przewarstwieniami iłów, margli, wapieni marglistych, a także soli kamiennej i wapieni z obecnością siarki – jednostek litostratygraficznych zaliczanych do formacji z Krzyżanowic.</w:t>
      </w:r>
      <w:r>
        <w:rPr>
          <w:sz w:val="20"/>
          <w:szCs w:val="20"/>
        </w:rPr>
        <w:t xml:space="preserve"> </w:t>
      </w:r>
      <w:r w:rsidRPr="00226C00">
        <w:rPr>
          <w:sz w:val="20"/>
          <w:szCs w:val="20"/>
        </w:rPr>
        <w:t>Podsumowując, obszar objęty badaniami geofizycznymi charakteryzuje się dominacją osadów lessowych i pyłowych o niskiej oporności elektrycznej, lokalnie wzbogaconych o wkładki glin zwałowych oraz osadów aluwialnych.</w:t>
      </w:r>
    </w:p>
    <w:p w14:paraId="1065E095" w14:textId="1AF511FC" w:rsidR="00840794" w:rsidRPr="00505A57" w:rsidRDefault="00840794" w:rsidP="00840794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 w:rsidRPr="007B4278">
        <w:rPr>
          <w:b/>
          <w:bCs/>
        </w:rPr>
        <w:t>Opis</w:t>
      </w:r>
      <w:r w:rsidRPr="00505A57">
        <w:rPr>
          <w:b/>
          <w:bCs/>
          <w:sz w:val="20"/>
          <w:szCs w:val="20"/>
        </w:rPr>
        <w:t xml:space="preserve"> </w:t>
      </w:r>
      <w:r w:rsidRPr="007B4278">
        <w:rPr>
          <w:b/>
          <w:bCs/>
        </w:rPr>
        <w:t>metod</w:t>
      </w:r>
    </w:p>
    <w:p w14:paraId="41370F38" w14:textId="7BCC34FA" w:rsidR="00840794" w:rsidRPr="00505A57" w:rsidRDefault="00DB027E" w:rsidP="00DB027E">
      <w:pPr>
        <w:ind w:left="360"/>
        <w:jc w:val="both"/>
        <w:rPr>
          <w:sz w:val="20"/>
          <w:szCs w:val="20"/>
        </w:rPr>
      </w:pPr>
      <w:r w:rsidRPr="00DB027E">
        <w:rPr>
          <w:sz w:val="20"/>
          <w:szCs w:val="20"/>
        </w:rPr>
        <w:t xml:space="preserve">W niniejszym rozdziale przedstawiono charakterystykę dwóch metod geofizycznych, które znalazły szerokie zastosowanie w badaniach archeologicznych – magnetometrii gradientowej oraz metody konduktometrycznej. Obie techniki należą do grupy nieinwazyjnych metod prospekcji geofizycznej </w:t>
      </w:r>
      <w:r w:rsidR="000B32A0">
        <w:rPr>
          <w:sz w:val="20"/>
          <w:szCs w:val="20"/>
        </w:rPr>
        <w:br/>
      </w:r>
      <w:r w:rsidRPr="00DB027E">
        <w:rPr>
          <w:sz w:val="20"/>
          <w:szCs w:val="20"/>
        </w:rPr>
        <w:t xml:space="preserve">i umożliwiają identyfikację struktur podpowierzchniowych o zróżnicowanych właściwościach fizycznych, bez konieczności prowadzenia prac ziemnych. Ich komplementarne właściwości pozwalają na skuteczne rozpoznanie zarówno anomalii związanych z antropogenicznymi przekształceniami środowiska gruntowego, jak i naturalnych zróżnicowań litologicznych. W dalszej części rozdziału omówiono podstawy fizyczne obu metod, zakres ich zastosowań, sposób </w:t>
      </w:r>
      <w:r w:rsidRPr="00DB027E">
        <w:rPr>
          <w:sz w:val="20"/>
          <w:szCs w:val="20"/>
        </w:rPr>
        <w:lastRenderedPageBreak/>
        <w:t>prowadzenia pomiarów oraz specyfikę interpretacji uzyskiwanych danych w kontekście badań archeologicznych.</w:t>
      </w:r>
      <w:r w:rsidR="00B13A24">
        <w:rPr>
          <w:sz w:val="20"/>
          <w:szCs w:val="20"/>
        </w:rPr>
        <w:t xml:space="preserve"> </w:t>
      </w:r>
    </w:p>
    <w:p w14:paraId="42ADB8B6" w14:textId="7F1CAE64" w:rsidR="00840794" w:rsidRPr="00505A57" w:rsidRDefault="00840794" w:rsidP="00840794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 w:rsidRPr="00505A57">
        <w:rPr>
          <w:b/>
          <w:bCs/>
          <w:sz w:val="20"/>
          <w:szCs w:val="20"/>
        </w:rPr>
        <w:t>Magnetometria</w:t>
      </w:r>
    </w:p>
    <w:p w14:paraId="2F657A0A" w14:textId="45FDDF06" w:rsidR="00840794" w:rsidRPr="00505A57" w:rsidRDefault="00840794" w:rsidP="00840794">
      <w:pPr>
        <w:ind w:left="360"/>
        <w:jc w:val="both"/>
        <w:rPr>
          <w:sz w:val="20"/>
          <w:szCs w:val="20"/>
        </w:rPr>
      </w:pPr>
      <w:r w:rsidRPr="00505A57">
        <w:rPr>
          <w:sz w:val="20"/>
          <w:szCs w:val="20"/>
        </w:rPr>
        <w:t xml:space="preserve">Magnetometria to nieinwazyjna i powierzchniowa metoda geofizyczna, która mierzy natężenie ziemskiego pola magnetycznego. Zmiany w tym polu pozwalają odkrywać różne właściwości magnetyczne ośrodka, co znalazło zastosowanie w różnych dziedzinach. Stosowana jest w geologii do rozpoznawania struktur magmowych oraz w inżynierii do badania rurociągów i odkrywania niewybuchów. W dziedzinie archeologii pozwala na mapowanie pogrzebanych zabudowań i palenisk, czy też grobów. </w:t>
      </w:r>
    </w:p>
    <w:p w14:paraId="6307972A" w14:textId="6A6E3F8C" w:rsidR="00840794" w:rsidRPr="00505A57" w:rsidRDefault="00840794" w:rsidP="00840794">
      <w:pPr>
        <w:ind w:left="360"/>
        <w:jc w:val="both"/>
        <w:rPr>
          <w:sz w:val="20"/>
          <w:szCs w:val="20"/>
        </w:rPr>
      </w:pPr>
      <w:r w:rsidRPr="00505A57">
        <w:rPr>
          <w:sz w:val="20"/>
          <w:szCs w:val="20"/>
        </w:rPr>
        <w:t xml:space="preserve">Obiekty znajdujące się w zasięgu pola magnetycznego ulegają zjawisku indukcji, czyli namagnesowaniu. Stopień namagnesowania zależy od wektora natężenia </w:t>
      </w:r>
      <w:r w:rsidRPr="00505A57">
        <w:rPr>
          <w:b/>
          <w:bCs/>
          <w:sz w:val="20"/>
          <w:szCs w:val="20"/>
        </w:rPr>
        <w:t>T</w:t>
      </w:r>
      <w:r w:rsidRPr="00505A57">
        <w:rPr>
          <w:sz w:val="20"/>
          <w:szCs w:val="20"/>
        </w:rPr>
        <w:t xml:space="preserve"> i podatności magnetycznej substancji, co pozwala na podział ciał na różne grupy. Diamagnetyki, paramagnetyki </w:t>
      </w:r>
      <w:r w:rsidR="000B32A0">
        <w:rPr>
          <w:sz w:val="20"/>
          <w:szCs w:val="20"/>
        </w:rPr>
        <w:br/>
      </w:r>
      <w:r w:rsidRPr="00505A57">
        <w:rPr>
          <w:sz w:val="20"/>
          <w:szCs w:val="20"/>
        </w:rPr>
        <w:t xml:space="preserve">i antyferromagnetyki to ciała o różnym poziomie namagnesowania. Jednak to ferromagnetyki mają najmocniejsze oddziaływanie z polem magnetycznym, powodując zaburzenia w jego natężeniu. </w:t>
      </w:r>
      <w:r w:rsidR="000B32A0">
        <w:rPr>
          <w:sz w:val="20"/>
          <w:szCs w:val="20"/>
        </w:rPr>
        <w:br/>
      </w:r>
      <w:r w:rsidRPr="00505A57">
        <w:rPr>
          <w:sz w:val="20"/>
          <w:szCs w:val="20"/>
        </w:rPr>
        <w:t xml:space="preserve">To właśnie te anomalie są identyfikowane w magnetometrii poszukiwawczej. Dzięki tej metodzie, możemy wnioskować o występowaniu różnorodnych struktur i obiektów ferromagnetycznych </w:t>
      </w:r>
      <w:r w:rsidR="000B32A0">
        <w:rPr>
          <w:sz w:val="20"/>
          <w:szCs w:val="20"/>
        </w:rPr>
        <w:br/>
      </w:r>
      <w:r w:rsidRPr="00505A57">
        <w:rPr>
          <w:sz w:val="20"/>
          <w:szCs w:val="20"/>
        </w:rPr>
        <w:t>w skorupie ziemskiej. Odkrycie takich obiektów może być związane z występowaniem rud metali, złóż krystalicznych, żył magmowych czy też zlokalizowaniem obiektów archeologicznych czy reliktów historycznych. Magnetometria pozwala także na wykrywanie elementów podziemnych sieci uzbrojenia terenu.</w:t>
      </w:r>
    </w:p>
    <w:p w14:paraId="353F15AD" w14:textId="2288D66C" w:rsidR="00840794" w:rsidRPr="00505A57" w:rsidRDefault="00840794" w:rsidP="00840794">
      <w:pPr>
        <w:ind w:left="360"/>
        <w:jc w:val="both"/>
        <w:rPr>
          <w:sz w:val="20"/>
          <w:szCs w:val="20"/>
        </w:rPr>
      </w:pPr>
      <w:r w:rsidRPr="00505A57">
        <w:rPr>
          <w:sz w:val="20"/>
          <w:szCs w:val="20"/>
        </w:rPr>
        <w:t xml:space="preserve">W tym przypadku zastosowano wariant metody magnetometrycznej - pomiar pionowego gradientu pola. Technika ta polega na równoczesnym mierzeniu pola magnetycznego w dwóch sondach oddalonych od siebie. Im większa odległość między czujnikami, tym większy zasięg tej metody, </w:t>
      </w:r>
      <w:r w:rsidR="000B32A0">
        <w:rPr>
          <w:sz w:val="20"/>
          <w:szCs w:val="20"/>
        </w:rPr>
        <w:br/>
      </w:r>
      <w:r w:rsidRPr="00505A57">
        <w:rPr>
          <w:sz w:val="20"/>
          <w:szCs w:val="20"/>
        </w:rPr>
        <w:t>co pozwala na badania w większych głębokościach. Głównym obszarem zastosowania tej metody są badania archeologiczne. Jest to dedykowane narzędzie, które pozwala na skuteczne odkrywanie pogrzebanych struktur i palenisk, bez konieczności wykonywania jednoczesnego pomiaru referencyjnego. Dzięki temu upraszcza się proces badawczy, a wyniki są dokładne i precyzyjne.</w:t>
      </w:r>
    </w:p>
    <w:p w14:paraId="692F8BD2" w14:textId="5E16E01D" w:rsidR="00840794" w:rsidRPr="00505A57" w:rsidRDefault="00840794" w:rsidP="00840794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 w:rsidRPr="00505A57">
        <w:rPr>
          <w:b/>
          <w:bCs/>
          <w:sz w:val="20"/>
          <w:szCs w:val="20"/>
        </w:rPr>
        <w:t>Konduktometr (FDEM)</w:t>
      </w:r>
    </w:p>
    <w:p w14:paraId="4470219E" w14:textId="7696AAAC" w:rsidR="00FB17D2" w:rsidRPr="00505A57" w:rsidRDefault="00FB17D2" w:rsidP="00FB17D2">
      <w:pPr>
        <w:pStyle w:val="Akapitzlist"/>
        <w:ind w:left="360"/>
        <w:jc w:val="both"/>
        <w:rPr>
          <w:sz w:val="20"/>
          <w:szCs w:val="20"/>
        </w:rPr>
      </w:pPr>
      <w:r w:rsidRPr="00505A57">
        <w:rPr>
          <w:sz w:val="20"/>
          <w:szCs w:val="20"/>
        </w:rPr>
        <w:t xml:space="preserve">Metoda konduktometryczna (FDEM lub slingram) jest jedną z metod elektromagnetycznych stosowanych w geofizyce. Kluczowe znaczenie dla działania konduktometru ma sposób generowania, przesyłania i odbierania prądu. Konduktometr wykorzystuje dwie cewki rozmieszczone w odstępach </w:t>
      </w:r>
      <w:r w:rsidRPr="00505A57">
        <w:rPr>
          <w:i/>
          <w:iCs/>
          <w:sz w:val="20"/>
          <w:szCs w:val="20"/>
        </w:rPr>
        <w:t>s</w:t>
      </w:r>
      <w:r w:rsidRPr="00505A57">
        <w:rPr>
          <w:sz w:val="20"/>
          <w:szCs w:val="20"/>
        </w:rPr>
        <w:t xml:space="preserve">. Pierwsza z tych cewek, cewka nadawcza, jest źródłem prądu o niskiej częstotliwości (od kilku do kilkudziesięciu kHz). Gdy prąd przepływa przez cewkę nadawczą, generuje to zmienne pole magnetyczne, określane jako pole pierwotne - </w:t>
      </w:r>
      <w:r w:rsidRPr="00505A57">
        <w:rPr>
          <w:b/>
          <w:bCs/>
          <w:sz w:val="20"/>
          <w:szCs w:val="20"/>
        </w:rPr>
        <w:t>Hp</w:t>
      </w:r>
      <w:r w:rsidRPr="00505A57">
        <w:rPr>
          <w:sz w:val="20"/>
          <w:szCs w:val="20"/>
        </w:rPr>
        <w:t>. To pierwotne pole magnetyczne ma kluczowe znaczenie, ponieważ przenika przez ośrodek skalny. W rezultacie w ośrodku generowane są prądy wirowe, co skutkuje wtórną indukcją magnetyczną. Cewka odbiorcza odgrywa równie ważną rolę. Rejestruje ona wtórne pole magnetyczne wytworzone w gruncie. Działa to na zasadzie indukcji magnetycznej, która prowadzi do przepływu prądu. Istnieje bezpośrednia korelacja między przewodnością ośrodka pod wpływem indukcji magnetycznej, a różnicą w natężeniu pola magnetycznego między polem generowanym w cewce nadawczej (</w:t>
      </w:r>
      <w:r w:rsidRPr="00505A57">
        <w:rPr>
          <w:b/>
          <w:bCs/>
          <w:sz w:val="20"/>
          <w:szCs w:val="20"/>
        </w:rPr>
        <w:t>Hp</w:t>
      </w:r>
      <w:r w:rsidRPr="00505A57">
        <w:rPr>
          <w:sz w:val="20"/>
          <w:szCs w:val="20"/>
        </w:rPr>
        <w:t>), a polem rejestrowanym przez cewkę odbiorczą (</w:t>
      </w:r>
      <w:r w:rsidRPr="00505A57">
        <w:rPr>
          <w:b/>
          <w:bCs/>
          <w:sz w:val="20"/>
          <w:szCs w:val="20"/>
        </w:rPr>
        <w:t>Hs</w:t>
      </w:r>
      <w:r w:rsidRPr="00505A57">
        <w:rPr>
          <w:sz w:val="20"/>
          <w:szCs w:val="20"/>
        </w:rPr>
        <w:t xml:space="preserve">). Podczas badań wykorzystano konduktometr z sześcioma parami cewek nadawczych i odbiorczych, co pozwoliło na jednoczesny pomiar przewodności gruntu na sześciu głębokościach. Podczas badania mierzone są jednocześnie dwa parametry: przewodność pozorna </w:t>
      </w:r>
      <w:r w:rsidR="000B32A0">
        <w:rPr>
          <w:sz w:val="20"/>
          <w:szCs w:val="20"/>
        </w:rPr>
        <w:br/>
      </w:r>
      <w:r w:rsidRPr="00505A57">
        <w:rPr>
          <w:sz w:val="20"/>
          <w:szCs w:val="20"/>
        </w:rPr>
        <w:t>w celu zarejestrowania zmian w warunkach przewodności gruntu oraz względna wartość składowej pionowej pola magnetycznego. Ten tak zwany parametr fazowy (</w:t>
      </w:r>
      <w:r w:rsidRPr="00505A57">
        <w:rPr>
          <w:i/>
          <w:iCs/>
          <w:sz w:val="20"/>
          <w:szCs w:val="20"/>
        </w:rPr>
        <w:t>in-phase</w:t>
      </w:r>
      <w:r w:rsidRPr="00505A57">
        <w:rPr>
          <w:sz w:val="20"/>
          <w:szCs w:val="20"/>
        </w:rPr>
        <w:t>) umożliwia wykrywanie podziemnych obiektów metalowych.</w:t>
      </w:r>
    </w:p>
    <w:p w14:paraId="2AC858DC" w14:textId="77777777" w:rsidR="00FB17D2" w:rsidRPr="00505A57" w:rsidRDefault="00FB17D2" w:rsidP="00FB17D2">
      <w:pPr>
        <w:pStyle w:val="Akapitzlist"/>
        <w:ind w:left="360"/>
        <w:jc w:val="both"/>
        <w:rPr>
          <w:sz w:val="20"/>
          <w:szCs w:val="20"/>
        </w:rPr>
      </w:pPr>
    </w:p>
    <w:p w14:paraId="586EA003" w14:textId="77777777" w:rsidR="000B32A0" w:rsidRDefault="000B32A0">
      <w:pPr>
        <w:rPr>
          <w:b/>
          <w:bCs/>
        </w:rPr>
      </w:pPr>
      <w:r>
        <w:rPr>
          <w:b/>
          <w:bCs/>
        </w:rPr>
        <w:br w:type="page"/>
      </w:r>
    </w:p>
    <w:p w14:paraId="463C3603" w14:textId="221345EF" w:rsidR="00840794" w:rsidRPr="00505A57" w:rsidRDefault="00840794" w:rsidP="00840794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 w:rsidRPr="007B4278">
        <w:rPr>
          <w:b/>
          <w:bCs/>
        </w:rPr>
        <w:lastRenderedPageBreak/>
        <w:t>Przetwarzanie</w:t>
      </w:r>
    </w:p>
    <w:p w14:paraId="63955EC1" w14:textId="00E39B83" w:rsidR="00C65127" w:rsidRDefault="001A53F4" w:rsidP="00C65127">
      <w:pPr>
        <w:ind w:left="360"/>
        <w:jc w:val="both"/>
        <w:rPr>
          <w:sz w:val="20"/>
          <w:szCs w:val="20"/>
        </w:rPr>
      </w:pPr>
      <w:r w:rsidRPr="001A53F4">
        <w:rPr>
          <w:sz w:val="20"/>
          <w:szCs w:val="20"/>
        </w:rPr>
        <w:t xml:space="preserve">Obie metody wymagają wstępnego przetworzenia zarejestrowanych danych pomiarowych, </w:t>
      </w:r>
      <w:r w:rsidR="00A669D5">
        <w:rPr>
          <w:sz w:val="20"/>
          <w:szCs w:val="20"/>
        </w:rPr>
        <w:br/>
      </w:r>
      <w:r w:rsidRPr="001A53F4">
        <w:rPr>
          <w:sz w:val="20"/>
          <w:szCs w:val="20"/>
        </w:rPr>
        <w:t xml:space="preserve">a następnie ich właściwej interpretacji w kontekście geofizycznym i archeologicznym. Szczegółowy opis poszczególnych etapów przetwarzania danych zostanie przedstawiony odrębnie dla każdej </w:t>
      </w:r>
      <w:r w:rsidR="00A669D5">
        <w:rPr>
          <w:sz w:val="20"/>
          <w:szCs w:val="20"/>
        </w:rPr>
        <w:br/>
      </w:r>
      <w:r w:rsidRPr="001A53F4">
        <w:rPr>
          <w:sz w:val="20"/>
          <w:szCs w:val="20"/>
        </w:rPr>
        <w:t>z omawianych metod.</w:t>
      </w:r>
      <w:r w:rsidR="008C5ED7">
        <w:rPr>
          <w:sz w:val="20"/>
          <w:szCs w:val="20"/>
        </w:rPr>
        <w:t xml:space="preserve"> </w:t>
      </w:r>
      <w:r w:rsidR="008C5ED7" w:rsidRPr="008C5ED7">
        <w:rPr>
          <w:sz w:val="20"/>
          <w:szCs w:val="20"/>
        </w:rPr>
        <w:t>Pomiary każdą z metod przeprowadzono na pięciu poligonach badawczych, zlokalizowanych w bezpośrednim sąsiedztwie. Każdy z tych obszarów stanowił jednak odrębne zadanie interpretacyjne</w:t>
      </w:r>
      <w:r w:rsidR="008C5ED7">
        <w:rPr>
          <w:sz w:val="20"/>
          <w:szCs w:val="20"/>
        </w:rPr>
        <w:t>.</w:t>
      </w:r>
      <w:r w:rsidR="00F875E6">
        <w:rPr>
          <w:sz w:val="20"/>
          <w:szCs w:val="20"/>
        </w:rPr>
        <w:t xml:space="preserve"> </w:t>
      </w:r>
    </w:p>
    <w:p w14:paraId="542EA810" w14:textId="36D19F59" w:rsidR="000B32A0" w:rsidRDefault="00C65127" w:rsidP="000B32A0">
      <w:pPr>
        <w:ind w:left="360"/>
        <w:jc w:val="both"/>
        <w:rPr>
          <w:sz w:val="20"/>
          <w:szCs w:val="20"/>
        </w:rPr>
      </w:pPr>
      <w:r w:rsidRPr="00C65127">
        <w:rPr>
          <w:sz w:val="20"/>
          <w:szCs w:val="20"/>
        </w:rPr>
        <w:t xml:space="preserve">Badania przeprowadzono na trzech poligonach badawczych zlokalizowanych w bezpośrednim sąsiedztwie miejsca upamiętnienia Cmentarza Żydowskiego w Działoszycach oraz na dwóch dodatkowych obszarach pomiarowych, położonych w pewnym oddaleniu – po przeciwnych stronach drogi leśnej. Teren badań charakteryzował się znacznym stopniem złożoności w kontekście zastosowanych metod geofizycznych. Dla trzech pierwszych poligonów istotnym źródłem zakłóceń była przebiegająca w pobliżu linia energetyczna. Dodatkowo, w bezpośredniej bliskości poligonów </w:t>
      </w:r>
      <w:r w:rsidR="00A669D5">
        <w:rPr>
          <w:sz w:val="20"/>
          <w:szCs w:val="20"/>
        </w:rPr>
        <w:br/>
      </w:r>
      <w:r w:rsidRPr="00C65127">
        <w:rPr>
          <w:sz w:val="20"/>
          <w:szCs w:val="20"/>
        </w:rPr>
        <w:t>2 i 3 zlokalizowane jest metalowe ogrodzenie pomnika, co znacząco wpłynęło na jakość danych. Obszary te cechowały się najwyższym poziomem zakłóceń w przypadku obu metod pomiarowych.</w:t>
      </w:r>
    </w:p>
    <w:p w14:paraId="16F2B4FD" w14:textId="77777777" w:rsidR="000B32A0" w:rsidRDefault="00C65127" w:rsidP="000B32A0">
      <w:pPr>
        <w:ind w:left="360"/>
        <w:jc w:val="both"/>
        <w:rPr>
          <w:sz w:val="20"/>
          <w:szCs w:val="20"/>
        </w:rPr>
      </w:pPr>
      <w:r w:rsidRPr="000B32A0">
        <w:rPr>
          <w:sz w:val="20"/>
          <w:szCs w:val="20"/>
        </w:rPr>
        <w:t>Czwarty poligon zlokalizowany był w obrębie wąwozu lessowego, po jednej stronie drogi, natomiast piąty – w niewielkiej dolinie po stronie przeciwnej. Na tych dwóch stanowiskach główne zakłócenia wynikały z obecności porozrzucanych fragmentów metalu, takich jak druty, puszki, stare naczynia czy kapsle. W miarę możliwości teren został uprzątnięty przed rozpoczęciem prac pomiarowych.</w:t>
      </w:r>
    </w:p>
    <w:p w14:paraId="13F1E55F" w14:textId="40CD30BD" w:rsidR="00840794" w:rsidRPr="000B32A0" w:rsidRDefault="00840794" w:rsidP="000B32A0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 w:rsidRPr="000B32A0">
        <w:rPr>
          <w:b/>
          <w:bCs/>
          <w:sz w:val="20"/>
          <w:szCs w:val="20"/>
        </w:rPr>
        <w:t>Magnetometria</w:t>
      </w:r>
    </w:p>
    <w:p w14:paraId="3275C26F" w14:textId="6865C75E" w:rsidR="00A76235" w:rsidRDefault="00840794" w:rsidP="00840794">
      <w:pPr>
        <w:ind w:left="360"/>
        <w:jc w:val="both"/>
        <w:rPr>
          <w:sz w:val="20"/>
          <w:szCs w:val="20"/>
        </w:rPr>
      </w:pPr>
      <w:r w:rsidRPr="00505A57">
        <w:rPr>
          <w:sz w:val="20"/>
          <w:szCs w:val="20"/>
        </w:rPr>
        <w:t>Pomiar został wykonany w quasi-regularnej siatce pomiarowej</w:t>
      </w:r>
      <w:r w:rsidR="009B2238">
        <w:rPr>
          <w:sz w:val="20"/>
          <w:szCs w:val="20"/>
        </w:rPr>
        <w:t xml:space="preserve"> wzdłuż profili oddalonych od siebie </w:t>
      </w:r>
      <w:r w:rsidR="00A669D5">
        <w:rPr>
          <w:sz w:val="20"/>
          <w:szCs w:val="20"/>
        </w:rPr>
        <w:br/>
      </w:r>
      <w:r w:rsidR="009B2238">
        <w:rPr>
          <w:sz w:val="20"/>
          <w:szCs w:val="20"/>
        </w:rPr>
        <w:t>o około 50 cm</w:t>
      </w:r>
      <w:r w:rsidRPr="00505A57">
        <w:rPr>
          <w:sz w:val="20"/>
          <w:szCs w:val="20"/>
        </w:rPr>
        <w:t xml:space="preserve">, z uwzględnieniem obszarów w których pomiar ten nie był możliwy do przeprowadzenia – </w:t>
      </w:r>
      <w:r w:rsidR="00EC40E7">
        <w:rPr>
          <w:sz w:val="20"/>
          <w:szCs w:val="20"/>
        </w:rPr>
        <w:t>gęsta szata roślinna</w:t>
      </w:r>
      <w:r w:rsidR="009B2238">
        <w:rPr>
          <w:sz w:val="20"/>
          <w:szCs w:val="20"/>
        </w:rPr>
        <w:t xml:space="preserve"> lub</w:t>
      </w:r>
      <w:r w:rsidRPr="00505A57">
        <w:rPr>
          <w:sz w:val="20"/>
          <w:szCs w:val="20"/>
        </w:rPr>
        <w:t xml:space="preserve"> drzewa. Przetwarzanie danych wykonane zostało wykonane z użyciem standardowych procedur. Do dalszego przetwarzania nie były uwzględniane pomiary zaburzone </w:t>
      </w:r>
      <w:r w:rsidR="00A669D5">
        <w:rPr>
          <w:sz w:val="20"/>
          <w:szCs w:val="20"/>
        </w:rPr>
        <w:br/>
      </w:r>
      <w:r w:rsidRPr="00505A57">
        <w:rPr>
          <w:sz w:val="20"/>
          <w:szCs w:val="20"/>
        </w:rPr>
        <w:t xml:space="preserve">i przesterowane, oraz punktowe anomalie (tzw. szpilki). Za takie punktowe anomalie wybrane zostały punktu o wartościach przekraczających </w:t>
      </w:r>
      <w:r w:rsidR="00350F1E">
        <w:rPr>
          <w:sz w:val="20"/>
          <w:szCs w:val="20"/>
        </w:rPr>
        <w:t>10</w:t>
      </w:r>
      <w:r w:rsidRPr="00505A57">
        <w:rPr>
          <w:sz w:val="20"/>
          <w:szCs w:val="20"/>
        </w:rPr>
        <w:t xml:space="preserve">00 nT/m względem obydwu sąsiadujących punktów pomiarowych. Następnie dane zostały wyinterpolowane za pomocą procedury </w:t>
      </w:r>
      <w:r w:rsidRPr="00686CAD">
        <w:rPr>
          <w:i/>
          <w:iCs/>
          <w:sz w:val="20"/>
          <w:szCs w:val="20"/>
        </w:rPr>
        <w:t>krigingu</w:t>
      </w:r>
      <w:r w:rsidRPr="00505A57">
        <w:rPr>
          <w:sz w:val="20"/>
          <w:szCs w:val="20"/>
        </w:rPr>
        <w:t xml:space="preserve">, </w:t>
      </w:r>
      <w:r w:rsidR="00A669D5">
        <w:rPr>
          <w:sz w:val="20"/>
          <w:szCs w:val="20"/>
        </w:rPr>
        <w:br/>
      </w:r>
      <w:r w:rsidRPr="00505A57">
        <w:rPr>
          <w:sz w:val="20"/>
          <w:szCs w:val="20"/>
        </w:rPr>
        <w:t>z jednoczesnym wykluczeniem obszarów niepokrytych danymi.</w:t>
      </w:r>
      <w:r w:rsidR="00480DCE">
        <w:rPr>
          <w:sz w:val="20"/>
          <w:szCs w:val="20"/>
        </w:rPr>
        <w:t xml:space="preserve"> </w:t>
      </w:r>
      <w:r w:rsidRPr="00505A57">
        <w:rPr>
          <w:sz w:val="20"/>
          <w:szCs w:val="20"/>
        </w:rPr>
        <w:t xml:space="preserve">Na rysunkach obszary o dodatniej wartości pionowego gradientu zaznaczono kolorem </w:t>
      </w:r>
      <w:r w:rsidR="00CF70E9">
        <w:rPr>
          <w:sz w:val="20"/>
          <w:szCs w:val="20"/>
        </w:rPr>
        <w:t>poma</w:t>
      </w:r>
      <w:r w:rsidR="00974B65">
        <w:rPr>
          <w:sz w:val="20"/>
          <w:szCs w:val="20"/>
        </w:rPr>
        <w:t>rańczowym</w:t>
      </w:r>
      <w:r w:rsidRPr="00505A57">
        <w:rPr>
          <w:sz w:val="20"/>
          <w:szCs w:val="20"/>
        </w:rPr>
        <w:t xml:space="preserve">, natomiast o wartości ujemnej kolorem </w:t>
      </w:r>
      <w:r w:rsidR="00974B65">
        <w:rPr>
          <w:sz w:val="20"/>
          <w:szCs w:val="20"/>
        </w:rPr>
        <w:t>niebieskim</w:t>
      </w:r>
      <w:r w:rsidRPr="00505A57">
        <w:rPr>
          <w:sz w:val="20"/>
          <w:szCs w:val="20"/>
        </w:rPr>
        <w:t xml:space="preserve">. </w:t>
      </w:r>
    </w:p>
    <w:p w14:paraId="0EF0FE7D" w14:textId="0DECCCAA" w:rsidR="00840794" w:rsidRPr="00505A57" w:rsidRDefault="00A76235" w:rsidP="00840794">
      <w:pPr>
        <w:ind w:left="360"/>
        <w:jc w:val="both"/>
        <w:rPr>
          <w:sz w:val="20"/>
          <w:szCs w:val="20"/>
        </w:rPr>
      </w:pPr>
      <w:r>
        <w:rPr>
          <w:sz w:val="20"/>
          <w:szCs w:val="20"/>
        </w:rPr>
        <w:t>Pionowy g</w:t>
      </w:r>
      <w:r w:rsidRPr="00A76235">
        <w:rPr>
          <w:sz w:val="20"/>
          <w:szCs w:val="20"/>
        </w:rPr>
        <w:t xml:space="preserve">radient magnetyczny liczony jest jako różnica pomiędzy odczytem na dolnej sondzie względem odczytu na sondzie górnej. W przypadku wykonywanych pomiarów oddalenie pomiędzy czujnikami wynosiło 1m, ponieważ koncentrowaliśmy się na efektach od struktur przypowierzchniowych. Dodatni efekt magnetyczny powinien zostać uzyskany bezpośrednio nad obszarami obfitującymi w obiekty ferromagnetyczne, natomiast ujemny w pewnym oddaleniu </w:t>
      </w:r>
      <w:r w:rsidR="00A669D5">
        <w:rPr>
          <w:sz w:val="20"/>
          <w:szCs w:val="20"/>
        </w:rPr>
        <w:br/>
      </w:r>
      <w:r w:rsidRPr="00A76235">
        <w:rPr>
          <w:sz w:val="20"/>
          <w:szCs w:val="20"/>
        </w:rPr>
        <w:t xml:space="preserve">od nich. Z uwagi na bliskość elementów metalowych, jak wspomniany płot, skrajne wartości widoczne na mapie rozkładu gradientu pionowego pola magnetycznego należy utożsamiać właśnie </w:t>
      </w:r>
      <w:r w:rsidR="00A669D5">
        <w:rPr>
          <w:sz w:val="20"/>
          <w:szCs w:val="20"/>
        </w:rPr>
        <w:br/>
      </w:r>
      <w:r w:rsidRPr="00A76235">
        <w:rPr>
          <w:sz w:val="20"/>
          <w:szCs w:val="20"/>
        </w:rPr>
        <w:t>z nimi.</w:t>
      </w:r>
    </w:p>
    <w:p w14:paraId="188BAD10" w14:textId="11B8AFAC" w:rsidR="00840794" w:rsidRPr="00505A57" w:rsidRDefault="00840794" w:rsidP="00840794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 w:rsidRPr="00505A57">
        <w:rPr>
          <w:b/>
          <w:bCs/>
          <w:sz w:val="20"/>
          <w:szCs w:val="20"/>
        </w:rPr>
        <w:t>Konduktometr (FDEM)</w:t>
      </w:r>
    </w:p>
    <w:p w14:paraId="7F53B058" w14:textId="77777777" w:rsidR="00D264C3" w:rsidRPr="00505A57" w:rsidRDefault="00D264C3" w:rsidP="00D264C3">
      <w:pPr>
        <w:pStyle w:val="Akapitzlist"/>
        <w:ind w:left="360"/>
        <w:jc w:val="both"/>
        <w:rPr>
          <w:sz w:val="20"/>
          <w:szCs w:val="20"/>
        </w:rPr>
      </w:pPr>
    </w:p>
    <w:p w14:paraId="117E7995" w14:textId="247F3ECE" w:rsidR="00D264C3" w:rsidRPr="00505A57" w:rsidRDefault="00D264C3" w:rsidP="00D264C3">
      <w:pPr>
        <w:pStyle w:val="Akapitzlist"/>
        <w:ind w:left="360"/>
        <w:jc w:val="both"/>
        <w:rPr>
          <w:sz w:val="20"/>
          <w:szCs w:val="20"/>
        </w:rPr>
      </w:pPr>
      <w:r w:rsidRPr="00505A57">
        <w:rPr>
          <w:sz w:val="20"/>
          <w:szCs w:val="20"/>
        </w:rPr>
        <w:t xml:space="preserve">Badanie przeprowadzono w quasi-regularnej siatce, w tym w obszarach, w których pomiar ten był niemożliwy - gęste zarośla / drzewa. Przetwarzanie danych odbywało się przy użyciu standardowych procedur. Pomiary zaburzone i przesterowane, a także anomalie punktowe (tzw. szpilki) nie były brane pod uwagę w dalszym przetwarzaniu. Przeprowadzono jednowymiarową interpretację danych </w:t>
      </w:r>
      <w:r w:rsidR="00E47726">
        <w:rPr>
          <w:sz w:val="20"/>
          <w:szCs w:val="20"/>
        </w:rPr>
        <w:t>opornościowych</w:t>
      </w:r>
      <w:r w:rsidRPr="00505A57">
        <w:rPr>
          <w:sz w:val="20"/>
          <w:szCs w:val="20"/>
        </w:rPr>
        <w:t xml:space="preserve">, tj. dla każdej krzywej terenowej obliczono krzywą modelową, tak aby błąd dopasowania był jak najmniejszy. Za dopuszczalny błąd uznano wartość nie większą niż 5%. Interpretacja 1D została przeprowadzona oddzielnie dla każdego punktu pomiarowego, który został potraktowany jako </w:t>
      </w:r>
      <w:r w:rsidR="00A5642A">
        <w:rPr>
          <w:sz w:val="20"/>
          <w:szCs w:val="20"/>
        </w:rPr>
        <w:t xml:space="preserve">osobne </w:t>
      </w:r>
      <w:r w:rsidRPr="00505A57">
        <w:rPr>
          <w:sz w:val="20"/>
          <w:szCs w:val="20"/>
        </w:rPr>
        <w:t xml:space="preserve">sondowanie. Dane zostały następnie interpolowane przy użyciu procedury </w:t>
      </w:r>
      <w:r w:rsidRPr="00505A57">
        <w:rPr>
          <w:i/>
          <w:iCs/>
          <w:sz w:val="20"/>
          <w:szCs w:val="20"/>
        </w:rPr>
        <w:lastRenderedPageBreak/>
        <w:t>krigingu</w:t>
      </w:r>
      <w:r w:rsidRPr="00505A57">
        <w:rPr>
          <w:sz w:val="20"/>
          <w:szCs w:val="20"/>
        </w:rPr>
        <w:t xml:space="preserve">, przy jednoczesnym wykluczeniu obszarów nieobjętych danymi. Na rysunkach miejsca </w:t>
      </w:r>
      <w:r w:rsidR="00075B04">
        <w:rPr>
          <w:sz w:val="20"/>
          <w:szCs w:val="20"/>
        </w:rPr>
        <w:br/>
      </w:r>
      <w:r w:rsidRPr="00505A57">
        <w:rPr>
          <w:sz w:val="20"/>
          <w:szCs w:val="20"/>
        </w:rPr>
        <w:t xml:space="preserve">o wysokich wartościach </w:t>
      </w:r>
      <w:r w:rsidR="00E47726">
        <w:rPr>
          <w:sz w:val="20"/>
          <w:szCs w:val="20"/>
        </w:rPr>
        <w:t>oporności</w:t>
      </w:r>
      <w:r w:rsidRPr="00505A57">
        <w:rPr>
          <w:sz w:val="20"/>
          <w:szCs w:val="20"/>
        </w:rPr>
        <w:t xml:space="preserve"> zaznaczono kolorem </w:t>
      </w:r>
      <w:r w:rsidR="00E47726">
        <w:rPr>
          <w:sz w:val="20"/>
          <w:szCs w:val="20"/>
        </w:rPr>
        <w:t>czerwonym</w:t>
      </w:r>
      <w:r w:rsidRPr="00505A57">
        <w:rPr>
          <w:sz w:val="20"/>
          <w:szCs w:val="20"/>
        </w:rPr>
        <w:t xml:space="preserve">, a miejsca o niskich wartościach </w:t>
      </w:r>
      <w:r w:rsidR="00E47726">
        <w:rPr>
          <w:sz w:val="20"/>
          <w:szCs w:val="20"/>
        </w:rPr>
        <w:t>oporności</w:t>
      </w:r>
      <w:r w:rsidRPr="00505A57">
        <w:rPr>
          <w:sz w:val="20"/>
          <w:szCs w:val="20"/>
        </w:rPr>
        <w:t xml:space="preserve"> kolorem </w:t>
      </w:r>
      <w:r w:rsidR="002C21A1">
        <w:rPr>
          <w:sz w:val="20"/>
          <w:szCs w:val="20"/>
        </w:rPr>
        <w:t>niebieskim</w:t>
      </w:r>
      <w:r w:rsidRPr="00505A57">
        <w:rPr>
          <w:sz w:val="20"/>
          <w:szCs w:val="20"/>
        </w:rPr>
        <w:t>.</w:t>
      </w:r>
    </w:p>
    <w:p w14:paraId="0424D639" w14:textId="77777777" w:rsidR="00840794" w:rsidRPr="00505A57" w:rsidRDefault="00840794" w:rsidP="00D264C3">
      <w:pPr>
        <w:ind w:left="360"/>
        <w:rPr>
          <w:b/>
          <w:bCs/>
          <w:sz w:val="20"/>
          <w:szCs w:val="20"/>
        </w:rPr>
      </w:pPr>
    </w:p>
    <w:p w14:paraId="49CAAD34" w14:textId="1F5199F2" w:rsidR="00840794" w:rsidRPr="00090172" w:rsidRDefault="00840794" w:rsidP="00840794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 w:rsidRPr="007B4278">
        <w:rPr>
          <w:b/>
          <w:bCs/>
        </w:rPr>
        <w:t>Przedstawienie</w:t>
      </w:r>
      <w:r w:rsidRPr="00505A57">
        <w:rPr>
          <w:b/>
          <w:bCs/>
          <w:sz w:val="20"/>
          <w:szCs w:val="20"/>
        </w:rPr>
        <w:t xml:space="preserve"> </w:t>
      </w:r>
      <w:r w:rsidRPr="007B4278">
        <w:rPr>
          <w:b/>
          <w:bCs/>
        </w:rPr>
        <w:t>wyników</w:t>
      </w:r>
    </w:p>
    <w:p w14:paraId="17A5D47F" w14:textId="77777777" w:rsidR="00727208" w:rsidRPr="00727208" w:rsidRDefault="00727208" w:rsidP="00727208">
      <w:pPr>
        <w:ind w:left="360"/>
        <w:jc w:val="both"/>
        <w:rPr>
          <w:sz w:val="20"/>
          <w:szCs w:val="20"/>
        </w:rPr>
      </w:pPr>
      <w:r w:rsidRPr="00727208">
        <w:rPr>
          <w:sz w:val="20"/>
          <w:szCs w:val="20"/>
        </w:rPr>
        <w:t xml:space="preserve">W niniejszym rozdziale przedstawiono wyniki pomiarów geofizycznych uzyskane w trakcie badań na pięciu wyznaczonych poligonach badawczych. Każdy z obszarów analizowany jest oddzielnie, zgodnie z ustaloną kolejnością. Prezentację wyników otwierają mapy uzyskane w ramach pomiarów magnetycznych. Dla każdego obszaru jako pierwsze zamieszczono zestawienie dwóch map: po lewej stronie przedstawiono rozkład pełnego pola magnetycznego na mapie cieniowanej, natomiast po prawej – mapę pionowego gradientu magnetycznego. W celu wyeliminowania wpływu zmian globalnych i umożliwienia analizy jedynie anomalii rezydualnych, dane pełnego pola magnetycznego zostały uprzednio znormalizowane. Proces normalizacji oparto na danych referencyjnych pochodzących z Centralnego Obserwatorium Geofizycznego w Belsku, udostępnianych za pośrednictwem sieci </w:t>
      </w:r>
      <w:r w:rsidRPr="00727208">
        <w:rPr>
          <w:i/>
          <w:iCs/>
          <w:sz w:val="20"/>
          <w:szCs w:val="20"/>
        </w:rPr>
        <w:t>Intermagnet</w:t>
      </w:r>
      <w:r w:rsidRPr="00727208">
        <w:rPr>
          <w:sz w:val="20"/>
          <w:szCs w:val="20"/>
        </w:rPr>
        <w:t>.</w:t>
      </w:r>
    </w:p>
    <w:p w14:paraId="06FA4CE1" w14:textId="77777777" w:rsidR="00727208" w:rsidRPr="00727208" w:rsidRDefault="00727208" w:rsidP="00727208">
      <w:pPr>
        <w:ind w:left="360"/>
        <w:jc w:val="both"/>
        <w:rPr>
          <w:sz w:val="20"/>
          <w:szCs w:val="20"/>
        </w:rPr>
      </w:pPr>
      <w:r w:rsidRPr="00727208">
        <w:rPr>
          <w:sz w:val="20"/>
          <w:szCs w:val="20"/>
        </w:rPr>
        <w:t>W dalszej kolejności dla każdego obszaru przedstawiono analogiczny zestaw map, na których zaznaczono potencjalne struktury mogące odpowiadać miejscom pochówków. Mapy te mają na celu wizualizację możliwych interpretacji anomalii geofizycznych w kontekście poszukiwanych obiektów archeologicznych.</w:t>
      </w:r>
    </w:p>
    <w:p w14:paraId="63EB2F08" w14:textId="1A2F78BD" w:rsidR="00090172" w:rsidRPr="00727208" w:rsidRDefault="00727208" w:rsidP="00727208">
      <w:pPr>
        <w:ind w:left="360"/>
        <w:jc w:val="both"/>
        <w:rPr>
          <w:sz w:val="20"/>
          <w:szCs w:val="20"/>
        </w:rPr>
      </w:pPr>
      <w:r w:rsidRPr="00727208">
        <w:rPr>
          <w:sz w:val="20"/>
          <w:szCs w:val="20"/>
        </w:rPr>
        <w:t xml:space="preserve">W analogicznej strukturze zaprezentowano wyniki uzyskane metodą konduktometryczną. Dla każdego z analizowanych obszarów przygotowano zestaw sześciu map prezentujących rozkład przewodności (odwrotności oporności właściwej) dla wybranych głębokości: 0,25 m, 0,5 m, 0,8 m, 1,1 m, 1,6 m oraz 2,3 m. Następnie, na każdą z tych map naniesiono oznaczenia lokalizacji potencjalnych obiektów </w:t>
      </w:r>
      <w:r w:rsidR="00075B04">
        <w:rPr>
          <w:sz w:val="20"/>
          <w:szCs w:val="20"/>
        </w:rPr>
        <w:br/>
      </w:r>
      <w:r w:rsidRPr="00727208">
        <w:rPr>
          <w:sz w:val="20"/>
          <w:szCs w:val="20"/>
        </w:rPr>
        <w:t>o cechach mogących wskazywać na obecność struktur grobowych. Taki schemat prezentacji umożliwia porównanie wyników uzyskanych z wykorzystaniem dwóch niezależnych metod oraz ocenę spójności interpretacji przestrzennej.</w:t>
      </w:r>
    </w:p>
    <w:p w14:paraId="1478D0B1" w14:textId="05E97487" w:rsidR="00090172" w:rsidRPr="0004502F" w:rsidRDefault="00090172" w:rsidP="00090172">
      <w:pPr>
        <w:pStyle w:val="Akapitzlist"/>
        <w:numPr>
          <w:ilvl w:val="1"/>
          <w:numId w:val="1"/>
        </w:numPr>
        <w:rPr>
          <w:b/>
          <w:bCs/>
          <w:sz w:val="18"/>
          <w:szCs w:val="18"/>
        </w:rPr>
      </w:pPr>
      <w:r w:rsidRPr="001601E7">
        <w:rPr>
          <w:b/>
          <w:bCs/>
          <w:sz w:val="20"/>
          <w:szCs w:val="20"/>
        </w:rPr>
        <w:t>Obszar 1</w:t>
      </w:r>
    </w:p>
    <w:p w14:paraId="7D0B5160" w14:textId="4FDCB96E" w:rsidR="00EC113B" w:rsidRDefault="00EC113B" w:rsidP="00EC113B">
      <w:pPr>
        <w:ind w:left="360"/>
        <w:jc w:val="both"/>
        <w:rPr>
          <w:sz w:val="20"/>
          <w:szCs w:val="20"/>
        </w:rPr>
      </w:pPr>
      <w:r w:rsidRPr="00EC113B">
        <w:rPr>
          <w:sz w:val="20"/>
          <w:szCs w:val="20"/>
        </w:rPr>
        <w:t xml:space="preserve">Na rysunkach Fig. 1.1 oraz Fig. 1.2 przedstawiono wyniki pomiarów magnetometrycznych wykonanych na obszarze oznaczonym jako poligon 1. Na mapie rozkładu pełnego pola magnetycznego widoczny jest wyraźnie zarysowany, quasi-prostokątny obszar anomalii, który w centralnej części pokrywa się </w:t>
      </w:r>
      <w:r w:rsidR="00075B04">
        <w:rPr>
          <w:sz w:val="20"/>
          <w:szCs w:val="20"/>
        </w:rPr>
        <w:br/>
      </w:r>
      <w:r w:rsidRPr="00EC113B">
        <w:rPr>
          <w:sz w:val="20"/>
          <w:szCs w:val="20"/>
        </w:rPr>
        <w:t xml:space="preserve">z charakterystycznym układem przejścia pomiędzy maksimum dodatnim a maksimum ujemnym na mapie pionowego gradientu pola magnetycznego. Układ ten może wskazywać na obecność przekopanej struktury – najprawdopodobniej w formie liniowego obiektu, takiego jak rów, interpretowanego wstępnie jako potencjalna zbiorowa mogiła. Na uwagę zasługuje fakt, że anomalia ta układa się prostopadle do kierunku prowadzonych profili pomiarowych, co zmniejsza </w:t>
      </w:r>
      <w:r w:rsidR="00075B04">
        <w:rPr>
          <w:sz w:val="20"/>
          <w:szCs w:val="20"/>
        </w:rPr>
        <w:t>p</w:t>
      </w:r>
      <w:r w:rsidRPr="00EC113B">
        <w:rPr>
          <w:sz w:val="20"/>
          <w:szCs w:val="20"/>
        </w:rPr>
        <w:t>rawdopodobieństwo wystąpienia tzw. efektu śladu związanego</w:t>
      </w:r>
      <w:r w:rsidR="00075B04">
        <w:rPr>
          <w:sz w:val="20"/>
          <w:szCs w:val="20"/>
        </w:rPr>
        <w:t xml:space="preserve"> </w:t>
      </w:r>
      <w:r w:rsidRPr="00EC113B">
        <w:rPr>
          <w:sz w:val="20"/>
          <w:szCs w:val="20"/>
        </w:rPr>
        <w:t xml:space="preserve">z kierunkowością akwizycji danych. </w:t>
      </w:r>
      <w:r w:rsidR="00075B04">
        <w:rPr>
          <w:sz w:val="20"/>
          <w:szCs w:val="20"/>
        </w:rPr>
        <w:br/>
      </w:r>
      <w:r w:rsidRPr="00EC113B">
        <w:rPr>
          <w:sz w:val="20"/>
          <w:szCs w:val="20"/>
        </w:rPr>
        <w:t>W pozostałej części poligonu obserwuje się liczne punktowe anomalie o trudnym do jednoznacznego zinterpretowania charakterze, co wskazuje na znaczny poziom zakłóceń i zaszumienia badanego obszaru.</w:t>
      </w:r>
    </w:p>
    <w:p w14:paraId="168B72D1" w14:textId="6038C5DB" w:rsidR="001601E7" w:rsidRDefault="001601E7" w:rsidP="001601E7">
      <w:pPr>
        <w:rPr>
          <w:b/>
          <w:bCs/>
          <w:sz w:val="18"/>
          <w:szCs w:val="18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5E176B30" wp14:editId="5FE2CE80">
            <wp:extent cx="5760205" cy="2675889"/>
            <wp:effectExtent l="0" t="0" r="0" b="0"/>
            <wp:docPr id="8411460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146023" name="Obraz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2675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C2C0A" w14:textId="54879D71" w:rsidR="001601E7" w:rsidRDefault="001601E7" w:rsidP="00A52C54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Fig.1.1.</w:t>
      </w:r>
      <w:r w:rsidR="0096319E">
        <w:rPr>
          <w:i/>
          <w:iCs/>
          <w:sz w:val="18"/>
          <w:szCs w:val="18"/>
        </w:rPr>
        <w:t xml:space="preserve"> </w:t>
      </w:r>
      <w:r w:rsidR="0096319E" w:rsidRPr="0096319E">
        <w:rPr>
          <w:i/>
          <w:iCs/>
          <w:sz w:val="18"/>
          <w:szCs w:val="18"/>
        </w:rPr>
        <w:t xml:space="preserve">Rozkład </w:t>
      </w:r>
      <w:r w:rsidR="0096319E">
        <w:rPr>
          <w:i/>
          <w:iCs/>
          <w:sz w:val="18"/>
          <w:szCs w:val="18"/>
        </w:rPr>
        <w:t xml:space="preserve">pełnego pola magnetycznego (po lewej) oraz </w:t>
      </w:r>
      <w:r w:rsidR="0096319E" w:rsidRPr="0096319E">
        <w:rPr>
          <w:i/>
          <w:iCs/>
          <w:sz w:val="18"/>
          <w:szCs w:val="18"/>
        </w:rPr>
        <w:t xml:space="preserve">pionowego gradientu pola magnetycznego </w:t>
      </w:r>
      <w:r w:rsidR="0096319E">
        <w:rPr>
          <w:i/>
          <w:iCs/>
          <w:sz w:val="18"/>
          <w:szCs w:val="18"/>
        </w:rPr>
        <w:t>(po prawej)</w:t>
      </w:r>
      <w:r w:rsidR="00A52C54">
        <w:rPr>
          <w:i/>
          <w:iCs/>
          <w:sz w:val="18"/>
          <w:szCs w:val="18"/>
        </w:rPr>
        <w:t xml:space="preserve"> </w:t>
      </w:r>
      <w:r w:rsidR="00A52C54">
        <w:rPr>
          <w:i/>
          <w:iCs/>
          <w:sz w:val="18"/>
          <w:szCs w:val="18"/>
        </w:rPr>
        <w:br/>
      </w:r>
      <w:r w:rsidR="0096319E" w:rsidRPr="0096319E">
        <w:rPr>
          <w:i/>
          <w:iCs/>
          <w:sz w:val="18"/>
          <w:szCs w:val="18"/>
        </w:rPr>
        <w:t>w granicach obszaru badawczego</w:t>
      </w:r>
      <w:r w:rsidR="0096319E">
        <w:rPr>
          <w:i/>
          <w:iCs/>
          <w:sz w:val="18"/>
          <w:szCs w:val="18"/>
        </w:rPr>
        <w:t xml:space="preserve"> nr 1.</w:t>
      </w:r>
    </w:p>
    <w:p w14:paraId="62641042" w14:textId="33D0AF16" w:rsidR="00371865" w:rsidRDefault="00371865" w:rsidP="001601E7">
      <w:pPr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67D9A32D" wp14:editId="2355DA6E">
            <wp:extent cx="5760205" cy="2675890"/>
            <wp:effectExtent l="0" t="0" r="0" b="0"/>
            <wp:docPr id="1087597185" name="Obraz 1" descr="Obraz zawierający tekst, zrzut ekran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146023" name="Obraz 1" descr="Obraz zawierający tekst, zrzut ekranu&#10;&#10;Zawartość wygenerowana przez sztuczną inteligencję może być niepoprawna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FCDEC" w14:textId="03ECA386" w:rsidR="0096319E" w:rsidRPr="0096319E" w:rsidRDefault="0096319E" w:rsidP="00A52C54">
      <w:pPr>
        <w:jc w:val="both"/>
        <w:rPr>
          <w:b/>
          <w:bCs/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Fig.1.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>(po prawe</w:t>
      </w:r>
      <w:r w:rsidR="00A52C54">
        <w:rPr>
          <w:i/>
          <w:iCs/>
          <w:sz w:val="18"/>
          <w:szCs w:val="18"/>
        </w:rPr>
        <w:t>j</w:t>
      </w:r>
      <w:r>
        <w:rPr>
          <w:i/>
          <w:iCs/>
          <w:sz w:val="18"/>
          <w:szCs w:val="18"/>
        </w:rPr>
        <w:t>)</w:t>
      </w:r>
      <w:r w:rsidR="00A52C54"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1 z zaznaczon</w:t>
      </w:r>
      <w:r w:rsidR="00405A60">
        <w:rPr>
          <w:i/>
          <w:iCs/>
          <w:sz w:val="18"/>
          <w:szCs w:val="18"/>
        </w:rPr>
        <w:t xml:space="preserve">ym na czerwono </w:t>
      </w:r>
      <w:r w:rsidR="001C0A61">
        <w:rPr>
          <w:i/>
          <w:iCs/>
          <w:sz w:val="18"/>
          <w:szCs w:val="18"/>
        </w:rPr>
        <w:t xml:space="preserve">obiektem anomalnym wyinterpretowanym </w:t>
      </w:r>
      <w:r w:rsidR="007F7DE3">
        <w:rPr>
          <w:i/>
          <w:iCs/>
          <w:sz w:val="18"/>
          <w:szCs w:val="18"/>
        </w:rPr>
        <w:br/>
      </w:r>
      <w:r w:rsidR="001C0A61">
        <w:rPr>
          <w:i/>
          <w:iCs/>
          <w:sz w:val="18"/>
          <w:szCs w:val="18"/>
        </w:rPr>
        <w:t>z</w:t>
      </w:r>
      <w:r w:rsidR="007F7DE3">
        <w:rPr>
          <w:i/>
          <w:iCs/>
          <w:sz w:val="18"/>
          <w:szCs w:val="18"/>
        </w:rPr>
        <w:t xml:space="preserve"> d</w:t>
      </w:r>
      <w:r w:rsidR="001C0A61">
        <w:rPr>
          <w:i/>
          <w:iCs/>
          <w:sz w:val="18"/>
          <w:szCs w:val="18"/>
        </w:rPr>
        <w:t xml:space="preserve">anych magnetycznych oraz na zielono </w:t>
      </w:r>
      <w:r w:rsidR="00371865">
        <w:rPr>
          <w:i/>
          <w:iCs/>
          <w:sz w:val="18"/>
          <w:szCs w:val="18"/>
        </w:rPr>
        <w:t>wyinterpretowanym z danych konduktometrycznych</w:t>
      </w:r>
      <w:r>
        <w:rPr>
          <w:i/>
          <w:iCs/>
          <w:sz w:val="18"/>
          <w:szCs w:val="18"/>
        </w:rPr>
        <w:t>.</w:t>
      </w:r>
    </w:p>
    <w:p w14:paraId="659BF58C" w14:textId="7CFD3485" w:rsidR="00863848" w:rsidRPr="00863848" w:rsidRDefault="00863848" w:rsidP="00863848">
      <w:pPr>
        <w:ind w:left="708"/>
        <w:jc w:val="both"/>
        <w:rPr>
          <w:sz w:val="20"/>
          <w:szCs w:val="20"/>
        </w:rPr>
      </w:pPr>
      <w:r w:rsidRPr="00863848">
        <w:rPr>
          <w:sz w:val="20"/>
          <w:szCs w:val="20"/>
        </w:rPr>
        <w:t xml:space="preserve">Na kolejnych rysunkach (Fig. 1.3 oraz Fig. 1.4) przedstawiono rozkład oporności elektrycznej dla poligonu 1, uzyskany z wykorzystaniem metody konduktometrycznej. W zbliżonym obszarze, </w:t>
      </w:r>
      <w:r>
        <w:rPr>
          <w:sz w:val="20"/>
          <w:szCs w:val="20"/>
        </w:rPr>
        <w:br/>
      </w:r>
      <w:r w:rsidRPr="00863848">
        <w:rPr>
          <w:sz w:val="20"/>
          <w:szCs w:val="20"/>
        </w:rPr>
        <w:t xml:space="preserve">w którym wcześniej zarejestrowano wyraźną anomalię magnetyczną, widoczna jest dominująca struktura opornościowa. Charakteryzuje się ona niskimi wartościami oporności </w:t>
      </w:r>
      <w:r>
        <w:rPr>
          <w:sz w:val="20"/>
          <w:szCs w:val="20"/>
        </w:rPr>
        <w:br/>
      </w:r>
      <w:r w:rsidRPr="00863848">
        <w:rPr>
          <w:sz w:val="20"/>
          <w:szCs w:val="20"/>
        </w:rPr>
        <w:t xml:space="preserve">w przypowierzchniowych partiach, do głębokości około 1 metra, przechodzącymi następnie </w:t>
      </w:r>
      <w:r>
        <w:rPr>
          <w:sz w:val="20"/>
          <w:szCs w:val="20"/>
        </w:rPr>
        <w:br/>
      </w:r>
      <w:r w:rsidRPr="00863848">
        <w:rPr>
          <w:sz w:val="20"/>
          <w:szCs w:val="20"/>
        </w:rPr>
        <w:t>w strefę oporności podwyższonej. Taki układ jest wyraźnie kontrastowy względem otaczającego podłoża, w którym zmienność oporności z głębokością jest znacznie mniej zróżnicowana. Interpretacja tej anomalii może sugerować obecność obiektu antropogenicznego – potencjalnie zbiorowej mogiły – w której szczątki ludzkie znajdują się poniżej głębokości 1 metra, a przestrzeń nad nimi została zasypana materiałem dobrze przewodzącym, takim jak lokalnie występujące gliny lub namuły rzeczne. Tego rodzaju kontrast oporności może być efektem zarówno właściwości materiału wypełniającego, jak i zaburzeń strukturalnych w naturalnym układzie litologicznym.</w:t>
      </w:r>
    </w:p>
    <w:p w14:paraId="0F8E5704" w14:textId="4774C44F" w:rsidR="00EC113B" w:rsidRDefault="00EC113B" w:rsidP="001601E7">
      <w:pPr>
        <w:rPr>
          <w:b/>
          <w:bCs/>
          <w:i/>
          <w:iCs/>
          <w:sz w:val="18"/>
          <w:szCs w:val="18"/>
        </w:rPr>
      </w:pPr>
      <w:r>
        <w:rPr>
          <w:b/>
          <w:bCs/>
          <w:i/>
          <w:iCs/>
          <w:noProof/>
          <w:sz w:val="18"/>
          <w:szCs w:val="18"/>
        </w:rPr>
        <w:lastRenderedPageBreak/>
        <w:drawing>
          <wp:inline distT="0" distB="0" distL="0" distR="0" wp14:anchorId="49E6D7AE" wp14:editId="4BA31C3A">
            <wp:extent cx="5760720" cy="4076065"/>
            <wp:effectExtent l="0" t="0" r="0" b="0"/>
            <wp:docPr id="1988756880" name="Obraz 2" descr="Obraz zawierający zrzut ekranu, teks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756880" name="Obraz 2" descr="Obraz zawierający zrzut ekranu, tekst&#10;&#10;Zawartość wygenerowana przez sztuczną inteligencję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A1D70" w14:textId="2719705F" w:rsidR="00EC113B" w:rsidRDefault="00EC113B" w:rsidP="00A52C54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Fig.1.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 w:rsidR="001076FC">
        <w:rPr>
          <w:i/>
          <w:iCs/>
          <w:sz w:val="18"/>
          <w:szCs w:val="18"/>
        </w:rPr>
        <w:t xml:space="preserve">oporności elektrycznej ośrodka na głębokościach 0.25, 0.5, 0.8, 1.1, 1.6 oraz </w:t>
      </w:r>
      <w:r w:rsidR="00A52C54">
        <w:rPr>
          <w:i/>
          <w:iCs/>
          <w:sz w:val="18"/>
          <w:szCs w:val="18"/>
        </w:rPr>
        <w:t xml:space="preserve">2.3m </w:t>
      </w:r>
      <w:r w:rsidR="00A52C54" w:rsidRPr="0096319E">
        <w:rPr>
          <w:i/>
          <w:iCs/>
          <w:sz w:val="18"/>
          <w:szCs w:val="18"/>
        </w:rPr>
        <w:t>w granicach obszaru badawczego</w:t>
      </w:r>
      <w:r w:rsidR="00A52C54">
        <w:rPr>
          <w:i/>
          <w:iCs/>
          <w:sz w:val="18"/>
          <w:szCs w:val="18"/>
        </w:rPr>
        <w:t xml:space="preserve"> nr 1.</w:t>
      </w:r>
    </w:p>
    <w:p w14:paraId="4A13EB53" w14:textId="7EC90101" w:rsidR="00A52C54" w:rsidRDefault="00EC113B" w:rsidP="00A52C54">
      <w:pPr>
        <w:jc w:val="both"/>
        <w:rPr>
          <w:i/>
          <w:iCs/>
          <w:sz w:val="18"/>
          <w:szCs w:val="18"/>
        </w:rPr>
      </w:pPr>
      <w:r>
        <w:rPr>
          <w:i/>
          <w:iCs/>
          <w:noProof/>
          <w:sz w:val="18"/>
          <w:szCs w:val="18"/>
        </w:rPr>
        <w:drawing>
          <wp:inline distT="0" distB="0" distL="0" distR="0" wp14:anchorId="7ED0AA8A" wp14:editId="65B96543">
            <wp:extent cx="5760720" cy="4076065"/>
            <wp:effectExtent l="0" t="0" r="0" b="0"/>
            <wp:docPr id="409556895" name="Obraz 3" descr="Obraz zawierający zrzut ekranu, teks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556895" name="Obraz 3" descr="Obraz zawierający zrzut ekranu, tekst&#10;&#10;Zawartość wygenerowana przez sztuczną inteligencję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2C54" w:rsidRPr="00A52C54">
        <w:rPr>
          <w:i/>
          <w:iCs/>
          <w:sz w:val="18"/>
          <w:szCs w:val="18"/>
        </w:rPr>
        <w:t xml:space="preserve"> </w:t>
      </w:r>
      <w:r w:rsidR="00A52C54" w:rsidRPr="001601E7">
        <w:rPr>
          <w:i/>
          <w:iCs/>
          <w:sz w:val="18"/>
          <w:szCs w:val="18"/>
        </w:rPr>
        <w:t>Fig.1.</w:t>
      </w:r>
      <w:r w:rsidR="00A52C54">
        <w:rPr>
          <w:i/>
          <w:iCs/>
          <w:sz w:val="18"/>
          <w:szCs w:val="18"/>
        </w:rPr>
        <w:t>4</w:t>
      </w:r>
      <w:r w:rsidR="00A52C54" w:rsidRPr="001601E7">
        <w:rPr>
          <w:i/>
          <w:iCs/>
          <w:sz w:val="18"/>
          <w:szCs w:val="18"/>
        </w:rPr>
        <w:t>.</w:t>
      </w:r>
      <w:r w:rsidR="00A52C54">
        <w:rPr>
          <w:i/>
          <w:iCs/>
          <w:sz w:val="18"/>
          <w:szCs w:val="18"/>
        </w:rPr>
        <w:t xml:space="preserve"> </w:t>
      </w:r>
      <w:r w:rsidR="00A52C54" w:rsidRPr="0096319E">
        <w:rPr>
          <w:i/>
          <w:iCs/>
          <w:sz w:val="18"/>
          <w:szCs w:val="18"/>
        </w:rPr>
        <w:t xml:space="preserve">Rozkład </w:t>
      </w:r>
      <w:r w:rsidR="00A52C54"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="00A52C54" w:rsidRPr="0096319E">
        <w:rPr>
          <w:i/>
          <w:iCs/>
          <w:sz w:val="18"/>
          <w:szCs w:val="18"/>
        </w:rPr>
        <w:t xml:space="preserve">w granicach obszaru </w:t>
      </w:r>
      <w:r w:rsidR="00A52C54" w:rsidRPr="0096319E">
        <w:rPr>
          <w:i/>
          <w:iCs/>
          <w:sz w:val="18"/>
          <w:szCs w:val="18"/>
        </w:rPr>
        <w:lastRenderedPageBreak/>
        <w:t>badawczego</w:t>
      </w:r>
      <w:r w:rsidR="00A52C54">
        <w:rPr>
          <w:i/>
          <w:iCs/>
          <w:sz w:val="18"/>
          <w:szCs w:val="18"/>
        </w:rPr>
        <w:t xml:space="preserve"> nr 1 z zaznaczonym na czerwono obiektem anomalnym wyinterpretowanym z</w:t>
      </w:r>
      <w:r w:rsidR="007F7DE3">
        <w:rPr>
          <w:i/>
          <w:iCs/>
          <w:sz w:val="18"/>
          <w:szCs w:val="18"/>
        </w:rPr>
        <w:t xml:space="preserve"> </w:t>
      </w:r>
      <w:r w:rsidR="00A52C54">
        <w:rPr>
          <w:i/>
          <w:iCs/>
          <w:sz w:val="18"/>
          <w:szCs w:val="18"/>
        </w:rPr>
        <w:t>danych magnetycznych oraz na zielono wyinterpretowanym z danych konduktometrycznych.</w:t>
      </w:r>
    </w:p>
    <w:p w14:paraId="21996703" w14:textId="11D4B202" w:rsidR="001601E7" w:rsidRDefault="001601E7" w:rsidP="00090172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Obszar 2</w:t>
      </w:r>
    </w:p>
    <w:p w14:paraId="5EB57E26" w14:textId="77777777" w:rsidR="00947822" w:rsidRDefault="00947822" w:rsidP="00947822">
      <w:pPr>
        <w:pStyle w:val="Akapitzlist"/>
        <w:ind w:left="792"/>
        <w:rPr>
          <w:b/>
          <w:bCs/>
          <w:sz w:val="20"/>
          <w:szCs w:val="20"/>
        </w:rPr>
      </w:pPr>
    </w:p>
    <w:p w14:paraId="6045920D" w14:textId="61C2A253" w:rsidR="001601E7" w:rsidRPr="00947822" w:rsidRDefault="00947822" w:rsidP="00947822">
      <w:pPr>
        <w:pStyle w:val="Akapitzlist"/>
        <w:jc w:val="both"/>
        <w:rPr>
          <w:sz w:val="20"/>
          <w:szCs w:val="20"/>
        </w:rPr>
      </w:pPr>
      <w:r w:rsidRPr="00947822">
        <w:rPr>
          <w:sz w:val="20"/>
          <w:szCs w:val="20"/>
        </w:rPr>
        <w:t xml:space="preserve">Na rysunkach Fig. 2.1 oraz Fig. 2.2 zaprezentowano wyniki pomiarów magnetometrycznych wykonanych na obszarze oznaczonym jako poligon 2. W północnej części badanego obszaru widoczna jest struktura anomalna w postaci dwóch blisko zlokalizowanych maksimów pionowego gradientu pola magnetycznego, przedzielonych lokalnym minimum. Układ ten znajduje swoje odzwierciedlenie również na mapie pełnego pola magnetycznego, jednak cała struktura ma charakter mniej wyraźny i trudniejszy do jednoznacznej interpretacji w porównaniu </w:t>
      </w:r>
      <w:r>
        <w:rPr>
          <w:sz w:val="20"/>
          <w:szCs w:val="20"/>
        </w:rPr>
        <w:br/>
      </w:r>
      <w:r w:rsidRPr="00947822">
        <w:rPr>
          <w:sz w:val="20"/>
          <w:szCs w:val="20"/>
        </w:rPr>
        <w:t xml:space="preserve">z anomalią zaobserwowaną w poligonie 1. Dodatkowo, we wschodniej części poligonu widoczny jest silny efekt magnetyczny, który należy jednoznacznie wiązać z obecnością metalowego ogrodzenia pomnika, znajdującego się w bezpośrednim sąsiedztwie obszaru pomiarowego. </w:t>
      </w:r>
      <w:r>
        <w:rPr>
          <w:sz w:val="20"/>
          <w:szCs w:val="20"/>
        </w:rPr>
        <w:br/>
      </w:r>
      <w:r w:rsidRPr="00947822">
        <w:rPr>
          <w:sz w:val="20"/>
          <w:szCs w:val="20"/>
        </w:rPr>
        <w:t xml:space="preserve">W porównaniu do poligonu 1, liczba punktowych anomalii zakłócających interpretację jest mniejsza, co przekłada się na nieco wyższy poziom czytelności danych. Warto podkreślić, </w:t>
      </w:r>
      <w:r w:rsidR="00075B04">
        <w:rPr>
          <w:sz w:val="20"/>
          <w:szCs w:val="20"/>
        </w:rPr>
        <w:br/>
      </w:r>
      <w:r w:rsidRPr="00947822">
        <w:rPr>
          <w:sz w:val="20"/>
          <w:szCs w:val="20"/>
        </w:rPr>
        <w:t>że poligony 1 i 2 przylegają do siebie bezpośrednio, co umożliwia ich wzajemne odniesienie przestrzenne w dalszej analizie.</w:t>
      </w:r>
    </w:p>
    <w:p w14:paraId="3393C1E1" w14:textId="77777777" w:rsidR="00863848" w:rsidRDefault="00863848" w:rsidP="00863848">
      <w:pPr>
        <w:rPr>
          <w:b/>
          <w:bCs/>
          <w:sz w:val="18"/>
          <w:szCs w:val="18"/>
        </w:rPr>
      </w:pPr>
      <w:bookmarkStart w:id="0" w:name="_Hlk193924674"/>
      <w:r>
        <w:rPr>
          <w:noProof/>
          <w:sz w:val="20"/>
          <w:szCs w:val="20"/>
        </w:rPr>
        <w:drawing>
          <wp:inline distT="0" distB="0" distL="0" distR="0" wp14:anchorId="6F7F5DC3" wp14:editId="6DE25BB6">
            <wp:extent cx="5760205" cy="2060651"/>
            <wp:effectExtent l="0" t="0" r="0" b="0"/>
            <wp:docPr id="21241277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127730" name="Obraz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2060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1B1F3" w14:textId="1CD27185" w:rsidR="00863848" w:rsidRDefault="00863848" w:rsidP="00863848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.1.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 xml:space="preserve">(po prawej) 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2.</w:t>
      </w:r>
    </w:p>
    <w:p w14:paraId="78948F9D" w14:textId="77777777" w:rsidR="00863848" w:rsidRDefault="00863848" w:rsidP="00863848">
      <w:pPr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32C0BA8A" wp14:editId="08CE5011">
            <wp:extent cx="5760205" cy="2060651"/>
            <wp:effectExtent l="0" t="0" r="0" b="0"/>
            <wp:docPr id="4499244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924447" name="Obraz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2060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68027" w14:textId="5D7F7C1B" w:rsidR="00863848" w:rsidRDefault="00863848" w:rsidP="00863848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>(po prawej)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2 z zaznaczonym na czerwono obiektem anomalnym wyinterpretowanym </w:t>
      </w:r>
      <w:r w:rsidR="007F7DE3">
        <w:rPr>
          <w:i/>
          <w:iCs/>
          <w:sz w:val="18"/>
          <w:szCs w:val="18"/>
        </w:rPr>
        <w:br/>
      </w:r>
      <w:r>
        <w:rPr>
          <w:i/>
          <w:iCs/>
          <w:sz w:val="18"/>
          <w:szCs w:val="18"/>
        </w:rPr>
        <w:t>z</w:t>
      </w:r>
      <w:r w:rsidR="007F7DE3"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danych magnetycznych oraz na zielono wyinterpretowanym z danych konduktometrycznych.</w:t>
      </w:r>
    </w:p>
    <w:bookmarkEnd w:id="0"/>
    <w:p w14:paraId="2A933C83" w14:textId="54CB64CD" w:rsidR="00C41535" w:rsidRPr="00C41535" w:rsidRDefault="00C41535" w:rsidP="00C41535">
      <w:pPr>
        <w:ind w:left="705"/>
        <w:jc w:val="both"/>
        <w:rPr>
          <w:b/>
          <w:bCs/>
        </w:rPr>
      </w:pPr>
      <w:r w:rsidRPr="00C41535">
        <w:rPr>
          <w:sz w:val="20"/>
          <w:szCs w:val="20"/>
        </w:rPr>
        <w:t xml:space="preserve">Odmienny obraz w porównaniu do danych magnetycznych prezentuje rozkład oporności elektrycznej ośrodka, zobrazowany na rysunkach Fig. 2.3 oraz Fig. 2.4. W danych tych widoczna jest wyraźna liniowa anomalia zlokalizowana we wschodniej części poligonu, którą można </w:t>
      </w:r>
      <w:r w:rsidRPr="00C41535">
        <w:rPr>
          <w:sz w:val="20"/>
          <w:szCs w:val="20"/>
        </w:rPr>
        <w:lastRenderedPageBreak/>
        <w:t xml:space="preserve">jednoznacznie utożsamiać z przebiegiem metalowego ogrodzenia, wcześniej zidentyfikowanego również jako źródło zakłóceń w pomiarach magnetycznych. Szczególnie w płytszych przedziałach głębokości uwidacznia się wyraźna dwudzielność badanego obszaru – południowa część poligonu charakteryzuje się wyższymi wartościami oporności, natomiast część północna wykazuje niższe wartości. Zróżnicowanie to stopniowo zanika wraz ze wzrostem głębokości. </w:t>
      </w:r>
      <w:r>
        <w:rPr>
          <w:sz w:val="20"/>
          <w:szCs w:val="20"/>
        </w:rPr>
        <w:br/>
      </w:r>
      <w:r w:rsidRPr="00C41535">
        <w:rPr>
          <w:sz w:val="20"/>
          <w:szCs w:val="20"/>
        </w:rPr>
        <w:t xml:space="preserve">W centralnej części poligonu pojawia się dodatkowo zgrupowanie punktowych anomalii, pokrywające się przestrzennie z obszarem anomalii zarejestrowanej w danych magnetycznych. </w:t>
      </w:r>
      <w:r>
        <w:rPr>
          <w:sz w:val="20"/>
          <w:szCs w:val="20"/>
        </w:rPr>
        <w:br/>
      </w:r>
      <w:r w:rsidRPr="00C41535">
        <w:rPr>
          <w:sz w:val="20"/>
          <w:szCs w:val="20"/>
        </w:rPr>
        <w:t>W interpretacji zdecydowano się pozostawić jedynie południowy z zaznaczonych prostokątów, który koreluje z anomalią wysokooporową, potencjalnie wskazującą na antropogeniczne przekształcenie ośrodka. Brak natomiast wyraźnej korelacji dla najbardziej na północ wysuniętej struktury, co nie pozwala na jednoznaczne jej zinterpretowanie jako potencjalnego obiektu docelowego.</w:t>
      </w:r>
    </w:p>
    <w:p w14:paraId="4438CECC" w14:textId="77777777" w:rsidR="00863848" w:rsidRDefault="00863848" w:rsidP="00863848">
      <w:pPr>
        <w:rPr>
          <w:b/>
          <w:bCs/>
          <w:i/>
          <w:iCs/>
          <w:sz w:val="18"/>
          <w:szCs w:val="18"/>
        </w:rPr>
      </w:pPr>
      <w:r>
        <w:rPr>
          <w:b/>
          <w:bCs/>
          <w:i/>
          <w:iCs/>
          <w:noProof/>
          <w:sz w:val="18"/>
          <w:szCs w:val="18"/>
        </w:rPr>
        <w:drawing>
          <wp:inline distT="0" distB="0" distL="0" distR="0" wp14:anchorId="63333A78" wp14:editId="068A759A">
            <wp:extent cx="5752515" cy="4076065"/>
            <wp:effectExtent l="0" t="0" r="0" b="0"/>
            <wp:docPr id="144000014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000145" name="Obraz 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2515" cy="407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24C5D" w14:textId="6D5513D5" w:rsidR="00863848" w:rsidRDefault="00863848" w:rsidP="00863848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2.</w:t>
      </w:r>
    </w:p>
    <w:p w14:paraId="201866FA" w14:textId="6591E6DC" w:rsidR="00863848" w:rsidRDefault="00863848" w:rsidP="00863848">
      <w:pPr>
        <w:jc w:val="both"/>
        <w:rPr>
          <w:i/>
          <w:iCs/>
          <w:sz w:val="18"/>
          <w:szCs w:val="18"/>
        </w:rPr>
      </w:pPr>
      <w:r>
        <w:rPr>
          <w:i/>
          <w:iCs/>
          <w:noProof/>
          <w:sz w:val="18"/>
          <w:szCs w:val="18"/>
        </w:rPr>
        <w:lastRenderedPageBreak/>
        <w:drawing>
          <wp:inline distT="0" distB="0" distL="0" distR="0" wp14:anchorId="0449DB61" wp14:editId="15C01FA3">
            <wp:extent cx="5752515" cy="4076065"/>
            <wp:effectExtent l="0" t="0" r="0" b="0"/>
            <wp:docPr id="15903638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036384" name="Obraz 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2515" cy="407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2C54">
        <w:rPr>
          <w:i/>
          <w:iCs/>
          <w:sz w:val="18"/>
          <w:szCs w:val="18"/>
        </w:rPr>
        <w:t xml:space="preserve"> </w:t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2 z zaznaczonym na czerwono obiektem anomalnym wyinterpretowanym z</w:t>
      </w:r>
      <w:r w:rsidR="007F7DE3"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danych magnetycznych oraz na zielono wyinterpretowanym z danych konduktometrycznych.</w:t>
      </w:r>
    </w:p>
    <w:p w14:paraId="32E3D6CE" w14:textId="25893C98" w:rsidR="001601E7" w:rsidRDefault="001601E7" w:rsidP="00090172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Obszar 3</w:t>
      </w:r>
    </w:p>
    <w:p w14:paraId="468DE8A4" w14:textId="7AA00442" w:rsidR="001601E7" w:rsidRPr="000B00D7" w:rsidRDefault="000B00D7" w:rsidP="000B00D7">
      <w:pPr>
        <w:ind w:left="360"/>
        <w:jc w:val="both"/>
        <w:rPr>
          <w:sz w:val="20"/>
          <w:szCs w:val="20"/>
        </w:rPr>
      </w:pPr>
      <w:r w:rsidRPr="000B00D7">
        <w:rPr>
          <w:sz w:val="20"/>
          <w:szCs w:val="20"/>
        </w:rPr>
        <w:t xml:space="preserve">Wyniki pomiarów magnetometrycznych dla poligonu 3, przedstawione na rysunkach Fig. 3.1 oraz Fig. 3.2, wydają się stosunkowo jednoznaczne w interpretacji. Dominującą anomalię zlokalizowano </w:t>
      </w:r>
      <w:r>
        <w:rPr>
          <w:sz w:val="20"/>
          <w:szCs w:val="20"/>
        </w:rPr>
        <w:br/>
      </w:r>
      <w:r w:rsidRPr="000B00D7">
        <w:rPr>
          <w:sz w:val="20"/>
          <w:szCs w:val="20"/>
        </w:rPr>
        <w:t xml:space="preserve">w zachodniej części obszaru, gdzie obserwuje się silny efekt magnetyczny będący konsekwencją obecności metalowego ogrodzenia pomnika. W centralnej części poligonu zarejestrowano natomiast zgrupowanie dodatnich anomalii punktowych w mapie pionowego gradientu pola magnetycznego, które częściowo znajduje swoje odzwierciedlenie w nieregularnym rozkładzie pełnego pola magnetycznego. Struktura ta została oznaczona bordowym przerywanym okręgiem jako obszar </w:t>
      </w:r>
      <w:r>
        <w:rPr>
          <w:sz w:val="20"/>
          <w:szCs w:val="20"/>
        </w:rPr>
        <w:br/>
      </w:r>
      <w:r w:rsidRPr="000B00D7">
        <w:rPr>
          <w:sz w:val="20"/>
          <w:szCs w:val="20"/>
        </w:rPr>
        <w:t>o niejednoznacznym charakterze interpretacyjnym – brak jednoznacznych przesłanek pozwalających na określenie jej genezy, przy jednoczesnym wskazaniu na jej potencjalnie antropogeniczne pochodzenie.</w:t>
      </w:r>
    </w:p>
    <w:p w14:paraId="23ED1841" w14:textId="1D60E0FB" w:rsidR="007F7DE3" w:rsidRDefault="007F7DE3" w:rsidP="007D3C21">
      <w:pPr>
        <w:jc w:val="both"/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0D610AD7" wp14:editId="50E6C11E">
            <wp:extent cx="5760205" cy="1969781"/>
            <wp:effectExtent l="0" t="0" r="0" b="0"/>
            <wp:docPr id="6120527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052790" name="Obraz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1969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.1.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 xml:space="preserve">(po prawej) 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3.</w:t>
      </w:r>
    </w:p>
    <w:p w14:paraId="59C845EF" w14:textId="77777777" w:rsidR="007F7DE3" w:rsidRDefault="007F7DE3" w:rsidP="007F7DE3">
      <w:pPr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438FC048" wp14:editId="36D628C4">
            <wp:extent cx="5760205" cy="1969781"/>
            <wp:effectExtent l="0" t="0" r="0" b="0"/>
            <wp:docPr id="8676522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652264" name="Obraz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1969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FD73C" w14:textId="0A20B04A" w:rsidR="007F7DE3" w:rsidRDefault="007F7DE3" w:rsidP="007F7DE3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>(po prawej)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3 z zaznaczonym na czerwono obiektem anomalnym wyinterpretowanym </w:t>
      </w:r>
      <w:r>
        <w:rPr>
          <w:i/>
          <w:iCs/>
          <w:sz w:val="18"/>
          <w:szCs w:val="18"/>
        </w:rPr>
        <w:br/>
        <w:t>z danych magnetycznych oraz na zielono wyinterpretowanym z danych konduktometrycznych.</w:t>
      </w:r>
    </w:p>
    <w:p w14:paraId="43D4C5C7" w14:textId="19AABB66" w:rsidR="007F7DE3" w:rsidRPr="007D3C21" w:rsidRDefault="007D3C21" w:rsidP="007D3C21">
      <w:pPr>
        <w:ind w:left="708"/>
        <w:jc w:val="both"/>
        <w:rPr>
          <w:sz w:val="20"/>
          <w:szCs w:val="20"/>
        </w:rPr>
      </w:pPr>
      <w:r w:rsidRPr="007D3C21">
        <w:rPr>
          <w:sz w:val="20"/>
          <w:szCs w:val="20"/>
        </w:rPr>
        <w:t>Na rysunkach Fig. 3.3 oraz Fig. 3.4 przedstawiono rozkład oporności elektrycznej dla poligonu 3. Podobnie jak w przypadku danych magnetometrycznych, również tutaj dominującą cechą interpretacyjną jest silna anomalia zlokalizowana w zachodniej części obszaru, będąca efektem oddziaływania metalowego ogrodzenia pomnika. Na uwagę zasługuje istotny wzrost wartości oporności przypowierzchniowej warstwy w porównaniu do wcześniej analizowanych poligonów, pomimo ich bezpośredniego sąsiedztwa. Może to wskazywać na lokalne zróżnicowanie właściwości litologicznych lub warunków wilgotnościowych. Wschodnia część poligonu charakteryzuje się obecnością zgrupowania punktowych anomalii – lokalnych maksimów oporności – których geneza pozostaje niejednoznaczna. Chociaż ich rozmieszczenie wskazuje na pewną spójność przestrzenną, brak jest wyraźnej korelacji z wynikami magnetycznymi lub kontekstem archeologicznym, co utrudnia jednoznaczną interpretację ich charakteru.</w:t>
      </w:r>
    </w:p>
    <w:p w14:paraId="1EA12C2D" w14:textId="77777777" w:rsidR="007F7DE3" w:rsidRDefault="007F7DE3" w:rsidP="007F7DE3">
      <w:pPr>
        <w:rPr>
          <w:b/>
          <w:bCs/>
          <w:i/>
          <w:iCs/>
          <w:sz w:val="18"/>
          <w:szCs w:val="18"/>
        </w:rPr>
      </w:pPr>
      <w:bookmarkStart w:id="1" w:name="_Hlk193926681"/>
      <w:r>
        <w:rPr>
          <w:b/>
          <w:bCs/>
          <w:i/>
          <w:iCs/>
          <w:noProof/>
          <w:sz w:val="18"/>
          <w:szCs w:val="18"/>
        </w:rPr>
        <w:lastRenderedPageBreak/>
        <w:drawing>
          <wp:inline distT="0" distB="0" distL="0" distR="0" wp14:anchorId="3BB84E7A" wp14:editId="321DA881">
            <wp:extent cx="5752515" cy="3318427"/>
            <wp:effectExtent l="0" t="0" r="0" b="0"/>
            <wp:docPr id="212990098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900982" name="Obraz 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2515" cy="331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8826E" w14:textId="424F1FA0" w:rsidR="007F7DE3" w:rsidRDefault="007F7DE3" w:rsidP="007F7DE3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3.</w:t>
      </w:r>
    </w:p>
    <w:p w14:paraId="22A492D1" w14:textId="0BDDDCC6" w:rsidR="007F7DE3" w:rsidRPr="001601E7" w:rsidRDefault="007F7DE3" w:rsidP="007F7DE3">
      <w:pPr>
        <w:jc w:val="both"/>
        <w:rPr>
          <w:b/>
          <w:bCs/>
          <w:sz w:val="20"/>
          <w:szCs w:val="20"/>
        </w:rPr>
      </w:pPr>
      <w:r>
        <w:rPr>
          <w:i/>
          <w:iCs/>
          <w:noProof/>
          <w:sz w:val="18"/>
          <w:szCs w:val="18"/>
        </w:rPr>
        <w:drawing>
          <wp:inline distT="0" distB="0" distL="0" distR="0" wp14:anchorId="382D376F" wp14:editId="434B12D1">
            <wp:extent cx="5752515" cy="3318427"/>
            <wp:effectExtent l="0" t="0" r="0" b="0"/>
            <wp:docPr id="156364278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642786" name="Obraz 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2515" cy="331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2C54">
        <w:rPr>
          <w:i/>
          <w:iCs/>
          <w:sz w:val="18"/>
          <w:szCs w:val="18"/>
        </w:rPr>
        <w:t xml:space="preserve"> </w:t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3 z zaznaczonym na czerwono obiektem anomalnym wyinterpretowanym z danych magnetycznych oraz na zielono wyinterpretowanym z danych konduktometrycznych.</w:t>
      </w:r>
    </w:p>
    <w:bookmarkEnd w:id="1"/>
    <w:p w14:paraId="4AF917E7" w14:textId="5DF79412" w:rsidR="001601E7" w:rsidRDefault="001601E7" w:rsidP="00090172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Obszar 4</w:t>
      </w:r>
    </w:p>
    <w:p w14:paraId="5C903A74" w14:textId="77777777" w:rsidR="007F7DE3" w:rsidRDefault="007F7DE3" w:rsidP="007F7DE3">
      <w:pPr>
        <w:pStyle w:val="Akapitzlist"/>
        <w:rPr>
          <w:b/>
          <w:bCs/>
          <w:sz w:val="20"/>
          <w:szCs w:val="20"/>
        </w:rPr>
      </w:pPr>
    </w:p>
    <w:p w14:paraId="46ACE98F" w14:textId="49B88867" w:rsidR="005152CF" w:rsidRDefault="006C1C3E" w:rsidP="006C1C3E">
      <w:pPr>
        <w:pStyle w:val="Akapitzlist"/>
        <w:jc w:val="both"/>
        <w:rPr>
          <w:b/>
          <w:bCs/>
          <w:sz w:val="20"/>
          <w:szCs w:val="20"/>
        </w:rPr>
      </w:pPr>
      <w:r w:rsidRPr="006C1C3E">
        <w:rPr>
          <w:sz w:val="20"/>
          <w:szCs w:val="20"/>
        </w:rPr>
        <w:t xml:space="preserve">Wyniki pomiarów </w:t>
      </w:r>
      <w:r>
        <w:rPr>
          <w:sz w:val="20"/>
          <w:szCs w:val="20"/>
        </w:rPr>
        <w:t xml:space="preserve">magnetometrycznych dla poligonu nr 4 </w:t>
      </w:r>
      <w:r w:rsidRPr="006C1C3E">
        <w:rPr>
          <w:sz w:val="20"/>
          <w:szCs w:val="20"/>
        </w:rPr>
        <w:t xml:space="preserve">przedstawiono na rysunkach Fig. 4.1 oraz Fig. 4.2. Jedną z kluczowych cech odróżniających ten obszar od wcześniej analizowanych jest wyraźne osłabienie efektu magnetycznego. Wartości gradientu pionowego mieszczą się </w:t>
      </w:r>
      <w:r>
        <w:rPr>
          <w:sz w:val="20"/>
          <w:szCs w:val="20"/>
        </w:rPr>
        <w:br/>
      </w:r>
      <w:r w:rsidRPr="006C1C3E">
        <w:rPr>
          <w:sz w:val="20"/>
          <w:szCs w:val="20"/>
        </w:rPr>
        <w:t xml:space="preserve">w zakresie od -50 do +50 nT/m, co kontrastuje ze skalą od -200 do +200 nT/m stosowaną </w:t>
      </w:r>
      <w:r>
        <w:rPr>
          <w:sz w:val="20"/>
          <w:szCs w:val="20"/>
        </w:rPr>
        <w:br/>
      </w:r>
      <w:r w:rsidRPr="006C1C3E">
        <w:rPr>
          <w:sz w:val="20"/>
          <w:szCs w:val="20"/>
        </w:rPr>
        <w:t xml:space="preserve">w prezentacjach danych dla poligonów 1–3. Niższy poziom sygnału przekłada się na ogólnie </w:t>
      </w:r>
      <w:r w:rsidRPr="006C1C3E">
        <w:rPr>
          <w:sz w:val="20"/>
          <w:szCs w:val="20"/>
        </w:rPr>
        <w:lastRenderedPageBreak/>
        <w:t>słabszy kontrast anomalii magnetycznych w tym obszarze.</w:t>
      </w:r>
      <w:r>
        <w:rPr>
          <w:sz w:val="20"/>
          <w:szCs w:val="20"/>
        </w:rPr>
        <w:t xml:space="preserve"> </w:t>
      </w:r>
      <w:r w:rsidRPr="006C1C3E">
        <w:rPr>
          <w:sz w:val="20"/>
          <w:szCs w:val="20"/>
        </w:rPr>
        <w:t>W centralnej części poligonu zarejestrowano niewielkie nagromadzenie lokalnych maksimów i minimów gradientu magnetycznego, które częściowo korespondują z liniowymi strukturami widocznymi na mapie pełnego pola. Jednakże, korelacja ta nie jest jednoznaczna, a interpretacja zarysów tych struktur jest znacznie mniej oczywista niż w przypadku, na przykład, poligonu 1. Potencjalny obszar występowania struktury o charakterze antropogenicznym oznaczono bordowym przerywanym prostokątem oraz okręgiem, jako strefę wymagającą dalszej weryfikacji.</w:t>
      </w:r>
    </w:p>
    <w:p w14:paraId="64238394" w14:textId="64897511" w:rsidR="007D3C21" w:rsidRDefault="007D3C21" w:rsidP="007D3C21">
      <w:pPr>
        <w:jc w:val="both"/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059E3C8A" wp14:editId="2DC594A8">
            <wp:extent cx="5760085" cy="3335706"/>
            <wp:effectExtent l="0" t="0" r="0" b="0"/>
            <wp:docPr id="865817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81706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6383" cy="3339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.1.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 xml:space="preserve">(po prawej) 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4.</w:t>
      </w:r>
    </w:p>
    <w:p w14:paraId="4112B45D" w14:textId="0ABE2F0E" w:rsidR="007D3C21" w:rsidRDefault="007D3C21" w:rsidP="006C1C3E">
      <w:pPr>
        <w:jc w:val="both"/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69D1CFBD" wp14:editId="16F41B3C">
            <wp:extent cx="5789603" cy="3352800"/>
            <wp:effectExtent l="0" t="0" r="0" b="0"/>
            <wp:docPr id="10962076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207619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957" cy="335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>(po prawej)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3 z zaznaczonym na czerwono obiektem anomalnym wyinterpretowanym </w:t>
      </w:r>
      <w:r>
        <w:rPr>
          <w:i/>
          <w:iCs/>
          <w:sz w:val="18"/>
          <w:szCs w:val="18"/>
        </w:rPr>
        <w:br/>
        <w:t>z danych magnetycznych oraz na zielono wyinterpretowanym z danych konduktometrycznych.</w:t>
      </w:r>
    </w:p>
    <w:p w14:paraId="04A06C6C" w14:textId="7EF1ABC7" w:rsidR="00FF3759" w:rsidRPr="00FF3759" w:rsidRDefault="00FF3759" w:rsidP="00FF3759">
      <w:pPr>
        <w:ind w:left="708"/>
        <w:jc w:val="both"/>
        <w:rPr>
          <w:sz w:val="20"/>
          <w:szCs w:val="20"/>
        </w:rPr>
      </w:pPr>
      <w:r w:rsidRPr="00FF3759">
        <w:rPr>
          <w:sz w:val="20"/>
          <w:szCs w:val="20"/>
        </w:rPr>
        <w:lastRenderedPageBreak/>
        <w:t>W przypadku poligonu 4 zdecydowanie bardziej obiecujące rezultaty uzyskano z zastosowaniem metody konduktometrycznej. Wyniki te przedstawiono na rysunkach Fig. 4.3 oraz Fig. 4.4. Pomijając warstwę przypowierzchniową, dla której zarejestrowano skrajnie wysokie wartości oporności – najprawdopodobniej wynikające z przesuszenia warstw lessowych – w głębszych partiach widoczny jest wyraźny, liniowy schemat zmian oporności, przebiegający poprzecznie względem osi wąwozu. W północnej i południowej części obszaru dominują struktury o wyższej oporności, natomiast w centralnej części zarysowuje się strefa o niższej oporności elektrycznej względem otoczenia, przypominająca morfologicznie rodzaj kanału</w:t>
      </w:r>
      <w:r>
        <w:rPr>
          <w:sz w:val="20"/>
          <w:szCs w:val="20"/>
        </w:rPr>
        <w:t xml:space="preserve"> lub rowu</w:t>
      </w:r>
      <w:r w:rsidRPr="00FF3759">
        <w:rPr>
          <w:sz w:val="20"/>
          <w:szCs w:val="20"/>
        </w:rPr>
        <w:t>.</w:t>
      </w:r>
    </w:p>
    <w:p w14:paraId="0C07E464" w14:textId="0F985D1F" w:rsidR="006C1C3E" w:rsidRPr="006C1C3E" w:rsidRDefault="00FF3759" w:rsidP="00FF3759">
      <w:pPr>
        <w:ind w:left="708"/>
        <w:jc w:val="both"/>
        <w:rPr>
          <w:sz w:val="20"/>
          <w:szCs w:val="20"/>
        </w:rPr>
      </w:pPr>
      <w:r w:rsidRPr="00FF3759">
        <w:rPr>
          <w:sz w:val="20"/>
          <w:szCs w:val="20"/>
        </w:rPr>
        <w:t xml:space="preserve">W obrębie tej strefy, na głębokościach do około 1 metra, występuje struktura o podwyższonej oporności – porównywalnej do wartości obserwowanych w warstwach otaczających. Poniżej tego poziomu oporność ponownie spada, zbliżając się do wartości tła geologicznego. Zjawisko </w:t>
      </w:r>
      <w:r>
        <w:rPr>
          <w:sz w:val="20"/>
          <w:szCs w:val="20"/>
        </w:rPr>
        <w:br/>
      </w:r>
      <w:r w:rsidRPr="00FF3759">
        <w:rPr>
          <w:sz w:val="20"/>
          <w:szCs w:val="20"/>
        </w:rPr>
        <w:t>to może wskazywać na obecność wypełnionej przestrzeni (np. jamy lub rowu), zasypanej materiałem pochodzącym z otoczenia –</w:t>
      </w:r>
      <w:r>
        <w:rPr>
          <w:sz w:val="20"/>
          <w:szCs w:val="20"/>
        </w:rPr>
        <w:t xml:space="preserve"> </w:t>
      </w:r>
      <w:r w:rsidRPr="00FF3759">
        <w:rPr>
          <w:sz w:val="20"/>
          <w:szCs w:val="20"/>
        </w:rPr>
        <w:t xml:space="preserve">co byłoby zgodne z możliwym scenariuszem antropogenicznego zasypania. Warto podkreślić, że pozycja tej struktury przestrzennie koreluje </w:t>
      </w:r>
      <w:r>
        <w:rPr>
          <w:sz w:val="20"/>
          <w:szCs w:val="20"/>
        </w:rPr>
        <w:br/>
      </w:r>
      <w:r w:rsidRPr="00FF3759">
        <w:rPr>
          <w:sz w:val="20"/>
          <w:szCs w:val="20"/>
        </w:rPr>
        <w:t>z anomalią magnetyczną opisaną wcześniej, co wzmacnia hipotezę o obecności potencjalnego obiektu archeologicznego. Jednocześnie, z uwagi na specyfikę ukształtowania terenu i genezę wąwozu, nie można wykluczyć udziału naturalnych procesów denudacyjnych w kształtowaniu obserwowanego rozkładu oporności.</w:t>
      </w:r>
    </w:p>
    <w:p w14:paraId="71F93B1F" w14:textId="5C14C417" w:rsidR="006C1C3E" w:rsidRPr="00FF3759" w:rsidRDefault="006C1C3E" w:rsidP="00FF3759">
      <w:pPr>
        <w:jc w:val="both"/>
        <w:rPr>
          <w:b/>
          <w:bCs/>
          <w:i/>
          <w:iCs/>
          <w:sz w:val="18"/>
          <w:szCs w:val="18"/>
        </w:rPr>
      </w:pPr>
      <w:r>
        <w:rPr>
          <w:b/>
          <w:bCs/>
          <w:i/>
          <w:iCs/>
          <w:noProof/>
          <w:sz w:val="18"/>
          <w:szCs w:val="18"/>
        </w:rPr>
        <w:lastRenderedPageBreak/>
        <w:drawing>
          <wp:inline distT="0" distB="0" distL="0" distR="0" wp14:anchorId="11244C54" wp14:editId="737AB355">
            <wp:extent cx="5752465" cy="5523950"/>
            <wp:effectExtent l="0" t="0" r="0" b="0"/>
            <wp:docPr id="188040585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405852" name="Obraz 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255" cy="552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4.</w:t>
      </w:r>
    </w:p>
    <w:p w14:paraId="015E13A5" w14:textId="418A615A" w:rsidR="006C1C3E" w:rsidRPr="001601E7" w:rsidRDefault="006C1C3E" w:rsidP="006C1C3E">
      <w:pPr>
        <w:jc w:val="both"/>
        <w:rPr>
          <w:b/>
          <w:bCs/>
          <w:sz w:val="20"/>
          <w:szCs w:val="20"/>
        </w:rPr>
      </w:pPr>
      <w:r>
        <w:rPr>
          <w:i/>
          <w:iCs/>
          <w:noProof/>
          <w:sz w:val="18"/>
          <w:szCs w:val="18"/>
        </w:rPr>
        <w:lastRenderedPageBreak/>
        <w:drawing>
          <wp:inline distT="0" distB="0" distL="0" distR="0" wp14:anchorId="2ACE3332" wp14:editId="25D18F7F">
            <wp:extent cx="5753100" cy="5524560"/>
            <wp:effectExtent l="0" t="0" r="0" b="0"/>
            <wp:docPr id="51514251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142512" name="Obraz 3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132" cy="5530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2C54">
        <w:rPr>
          <w:i/>
          <w:iCs/>
          <w:sz w:val="18"/>
          <w:szCs w:val="18"/>
        </w:rPr>
        <w:t xml:space="preserve"> </w:t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4 z zaznaczonym na czerwono obiektem anomalnym wyinterpretowanym z danych magnetycznych oraz na zielono wyinterpretowanym z danych konduktometrycznych.</w:t>
      </w:r>
    </w:p>
    <w:p w14:paraId="3F2F915C" w14:textId="0C4B435C" w:rsidR="001601E7" w:rsidRDefault="001601E7" w:rsidP="00090172">
      <w:pPr>
        <w:pStyle w:val="Akapitzlist"/>
        <w:numPr>
          <w:ilvl w:val="1"/>
          <w:numId w:val="1"/>
        </w:num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Obszar 5 </w:t>
      </w:r>
    </w:p>
    <w:p w14:paraId="232D1C18" w14:textId="77777777" w:rsidR="00FF3759" w:rsidRDefault="00FF3759" w:rsidP="001601E7">
      <w:pPr>
        <w:pStyle w:val="Akapitzlist"/>
        <w:ind w:left="360"/>
        <w:rPr>
          <w:b/>
          <w:bCs/>
          <w:sz w:val="20"/>
          <w:szCs w:val="20"/>
        </w:rPr>
      </w:pPr>
    </w:p>
    <w:p w14:paraId="7782FDA6" w14:textId="2F3529BE" w:rsidR="00FF3759" w:rsidRPr="009B47C6" w:rsidRDefault="009B47C6" w:rsidP="009B47C6">
      <w:pPr>
        <w:pStyle w:val="Akapitzlist"/>
        <w:ind w:left="360"/>
        <w:jc w:val="both"/>
        <w:rPr>
          <w:sz w:val="20"/>
          <w:szCs w:val="20"/>
        </w:rPr>
      </w:pPr>
      <w:r w:rsidRPr="009B47C6">
        <w:rPr>
          <w:sz w:val="20"/>
          <w:szCs w:val="20"/>
        </w:rPr>
        <w:t>Poligon 5 zlokalizowany był przy leśnej drodze, a dokładniej w rejonie rozwidlenia dwóch dróg leśnych, co nadało mu nietypowy, trójkątny kształt. Wyniki pomiarów magnetometrycznych zaprezentowano na rysunkach Fig. 5.1 oraz Fig. 5.2. W porównaniu z poligonem 4 zarejestrowane anomalie są silniejsze, jednak należy zaznaczyć, że obszar ten charakteryzował się dużym stopniem zanieczyszczenia – obecne były liczne porozrzucane przedmioty metalowe, takie jak fragmenty drutu, garnki, butelki oraz inne elementy mogące generować zakłócenia.</w:t>
      </w:r>
      <w:r>
        <w:rPr>
          <w:sz w:val="20"/>
          <w:szCs w:val="20"/>
        </w:rPr>
        <w:t xml:space="preserve"> </w:t>
      </w:r>
      <w:r w:rsidRPr="009B47C6">
        <w:rPr>
          <w:sz w:val="20"/>
          <w:szCs w:val="20"/>
        </w:rPr>
        <w:t xml:space="preserve">Wzdłuż północnego obrzeża poligonu, sąsiadującego </w:t>
      </w:r>
      <w:r w:rsidR="00075B04">
        <w:rPr>
          <w:sz w:val="20"/>
          <w:szCs w:val="20"/>
        </w:rPr>
        <w:br/>
      </w:r>
      <w:r w:rsidRPr="009B47C6">
        <w:rPr>
          <w:sz w:val="20"/>
          <w:szCs w:val="20"/>
        </w:rPr>
        <w:t xml:space="preserve">z drogą, widoczne jest zgrupowanie punktowych maksimów i minimów gradientu magnetycznego, jednak interpretacja ich genezy jest utrudniona. Obszar ten cechuje się również nieregularnym, trudnym do jednoznacznego określenia rozkładem pełnego pola magnetycznego. W związku </w:t>
      </w:r>
      <w:r w:rsidR="00075B04">
        <w:rPr>
          <w:sz w:val="20"/>
          <w:szCs w:val="20"/>
        </w:rPr>
        <w:br/>
      </w:r>
      <w:r w:rsidRPr="009B47C6">
        <w:rPr>
          <w:sz w:val="20"/>
          <w:szCs w:val="20"/>
        </w:rPr>
        <w:t xml:space="preserve">z obecnością licznych zaburzeń i niejednoznacznością sygnału, uzyskane wyniki należy traktować </w:t>
      </w:r>
      <w:r w:rsidR="00075B04">
        <w:rPr>
          <w:sz w:val="20"/>
          <w:szCs w:val="20"/>
        </w:rPr>
        <w:br/>
      </w:r>
      <w:r w:rsidRPr="009B47C6">
        <w:rPr>
          <w:sz w:val="20"/>
          <w:szCs w:val="20"/>
        </w:rPr>
        <w:t>z dużą ostrożnością, jako materiał pomocniczy, który wymaga uzupełnienia i weryfikacji innymi metodami.</w:t>
      </w:r>
    </w:p>
    <w:p w14:paraId="4B76DEC3" w14:textId="6DA370B2" w:rsidR="00FF3759" w:rsidRDefault="00FF3759" w:rsidP="00FF3759">
      <w:pPr>
        <w:jc w:val="both"/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2D345F71" wp14:editId="4E2BFB2B">
            <wp:extent cx="5760205" cy="1801231"/>
            <wp:effectExtent l="0" t="0" r="0" b="0"/>
            <wp:docPr id="2405102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510258" name="Obraz 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1801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5</w:t>
      </w:r>
      <w:r w:rsidRPr="001601E7">
        <w:rPr>
          <w:i/>
          <w:iCs/>
          <w:sz w:val="18"/>
          <w:szCs w:val="18"/>
        </w:rPr>
        <w:t>.1.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 xml:space="preserve">(po prawej) 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5.</w:t>
      </w:r>
    </w:p>
    <w:p w14:paraId="2A4CB1DD" w14:textId="77777777" w:rsidR="00FF3759" w:rsidRDefault="00FF3759" w:rsidP="00FF3759">
      <w:pPr>
        <w:rPr>
          <w:i/>
          <w:iCs/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68D8882C" wp14:editId="2D55C324">
            <wp:extent cx="5760205" cy="1801231"/>
            <wp:effectExtent l="0" t="0" r="0" b="0"/>
            <wp:docPr id="1522214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214043" name="Obraz 1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205" cy="1801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028A6" w14:textId="6662BA19" w:rsidR="00FF3759" w:rsidRDefault="00FF3759" w:rsidP="00FF3759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5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2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pełnego pola magnetycznego (po lewej) oraz </w:t>
      </w:r>
      <w:r w:rsidRPr="0096319E">
        <w:rPr>
          <w:i/>
          <w:iCs/>
          <w:sz w:val="18"/>
          <w:szCs w:val="18"/>
        </w:rPr>
        <w:t xml:space="preserve">pionowego gradientu pola magnetycznego </w:t>
      </w:r>
      <w:r>
        <w:rPr>
          <w:i/>
          <w:iCs/>
          <w:sz w:val="18"/>
          <w:szCs w:val="18"/>
        </w:rPr>
        <w:t>(po prawej)</w:t>
      </w:r>
      <w:r>
        <w:rPr>
          <w:i/>
          <w:iCs/>
          <w:sz w:val="18"/>
          <w:szCs w:val="18"/>
        </w:rPr>
        <w:br/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5 z zaznaczonym na czerwono obiektem anomalnym wyinterpretowanym </w:t>
      </w:r>
      <w:r>
        <w:rPr>
          <w:i/>
          <w:iCs/>
          <w:sz w:val="18"/>
          <w:szCs w:val="18"/>
        </w:rPr>
        <w:br/>
        <w:t>z danych magnetycznych oraz na zielono wyinterpretowanym z danych konduktometrycznych.</w:t>
      </w:r>
    </w:p>
    <w:p w14:paraId="59BF6D2C" w14:textId="7ED41A8F" w:rsidR="00FF3759" w:rsidRPr="008011DF" w:rsidRDefault="008011DF" w:rsidP="008011DF">
      <w:pPr>
        <w:ind w:left="708"/>
        <w:jc w:val="both"/>
        <w:rPr>
          <w:sz w:val="20"/>
          <w:szCs w:val="20"/>
        </w:rPr>
      </w:pPr>
      <w:r w:rsidRPr="008011DF">
        <w:rPr>
          <w:sz w:val="20"/>
          <w:szCs w:val="20"/>
        </w:rPr>
        <w:t>Wyniki pomiarów konduktometrycznych dla poligonu 5 przedstawiono na rysunkach Fig. 5.3 oraz Fig. 5.4. Najbardziej wyróżniającą się strukturą w danych opornościowych jest wysokooporowa strefa zlokalizowana w północno-wschodniej części poligonu, interpretowana jako usypana hałda ziemna znajdująca się w bezpośrednim sąsiedztwie drogi. Struktura ta jest szczególnie dobrze widoczna w zakresie głębokości od około 0,8 do 1,6 metra pod powierzchnią terenu, natomiast nie odznacza się wyraźnie w maksymalnym zakresie głębokości pomiaru.</w:t>
      </w:r>
      <w:r>
        <w:rPr>
          <w:sz w:val="20"/>
          <w:szCs w:val="20"/>
        </w:rPr>
        <w:t xml:space="preserve"> </w:t>
      </w:r>
      <w:r w:rsidRPr="008011DF">
        <w:rPr>
          <w:sz w:val="20"/>
          <w:szCs w:val="20"/>
        </w:rPr>
        <w:t xml:space="preserve">W pozostałych partiach obszaru zarejestrowano lokalne punktowe minima oporności, występujące do głębokości około 0,5 metra. Część z tych anomalii wykazuje częściową korelację z danymi magnetometrycznymi, jednak ich rozproszenie i płytkie położenie wskazują, że mogą one być związane z niewielkimi obiektami metalowymi zalegającymi w przypowierzchniowych warstwach – takimi jak odnotowane wcześniej druty, fragmenty naczyń czy butelki. Jedyną anomalią, dla której zachodzi istotna </w:t>
      </w:r>
      <w:r w:rsidR="00075B04">
        <w:rPr>
          <w:sz w:val="20"/>
          <w:szCs w:val="20"/>
        </w:rPr>
        <w:br/>
      </w:r>
      <w:r w:rsidRPr="008011DF">
        <w:rPr>
          <w:sz w:val="20"/>
          <w:szCs w:val="20"/>
        </w:rPr>
        <w:t>i spójna korelacja pomiędzy danymi opornościowymi i magnetycznymi, pozostaje wspomniana hałda, której obecność należy wiązać z nienaturalnym przekształceniem powierzchni terenu.</w:t>
      </w:r>
    </w:p>
    <w:p w14:paraId="57CFD900" w14:textId="77777777" w:rsidR="00FF3759" w:rsidRDefault="00FF3759" w:rsidP="00FF3759">
      <w:pPr>
        <w:rPr>
          <w:b/>
          <w:bCs/>
          <w:i/>
          <w:iCs/>
          <w:sz w:val="18"/>
          <w:szCs w:val="18"/>
        </w:rPr>
      </w:pPr>
      <w:r>
        <w:rPr>
          <w:b/>
          <w:bCs/>
          <w:i/>
          <w:iCs/>
          <w:noProof/>
          <w:sz w:val="18"/>
          <w:szCs w:val="18"/>
        </w:rPr>
        <w:lastRenderedPageBreak/>
        <w:drawing>
          <wp:inline distT="0" distB="0" distL="0" distR="0" wp14:anchorId="0A5A9351" wp14:editId="643A582E">
            <wp:extent cx="5752515" cy="2485946"/>
            <wp:effectExtent l="0" t="0" r="0" b="0"/>
            <wp:docPr id="122322542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225421" name="Obraz 2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2515" cy="2485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4B6A1" w14:textId="74B08A9B" w:rsidR="00FF3759" w:rsidRDefault="00FF3759" w:rsidP="00FF3759">
      <w:pPr>
        <w:jc w:val="both"/>
        <w:rPr>
          <w:i/>
          <w:iCs/>
          <w:sz w:val="18"/>
          <w:szCs w:val="18"/>
        </w:rPr>
      </w:pP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5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3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5.</w:t>
      </w:r>
    </w:p>
    <w:p w14:paraId="249F3254" w14:textId="123CE27B" w:rsidR="00FF3759" w:rsidRPr="001601E7" w:rsidRDefault="00FF3759" w:rsidP="00FF3759">
      <w:pPr>
        <w:jc w:val="both"/>
        <w:rPr>
          <w:b/>
          <w:bCs/>
          <w:sz w:val="20"/>
          <w:szCs w:val="20"/>
        </w:rPr>
      </w:pPr>
      <w:r>
        <w:rPr>
          <w:i/>
          <w:iCs/>
          <w:noProof/>
          <w:sz w:val="18"/>
          <w:szCs w:val="18"/>
        </w:rPr>
        <w:drawing>
          <wp:inline distT="0" distB="0" distL="0" distR="0" wp14:anchorId="4DF70B9A" wp14:editId="7749C5E8">
            <wp:extent cx="5752515" cy="2485946"/>
            <wp:effectExtent l="0" t="0" r="0" b="0"/>
            <wp:docPr id="186332026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320265" name="Obraz 3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2515" cy="2485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2C54">
        <w:rPr>
          <w:i/>
          <w:iCs/>
          <w:sz w:val="18"/>
          <w:szCs w:val="18"/>
        </w:rPr>
        <w:t xml:space="preserve"> </w:t>
      </w:r>
      <w:r w:rsidRPr="001601E7">
        <w:rPr>
          <w:i/>
          <w:iCs/>
          <w:sz w:val="18"/>
          <w:szCs w:val="18"/>
        </w:rPr>
        <w:t>Fig.</w:t>
      </w:r>
      <w:r>
        <w:rPr>
          <w:i/>
          <w:iCs/>
          <w:sz w:val="18"/>
          <w:szCs w:val="18"/>
        </w:rPr>
        <w:t>5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>4</w:t>
      </w:r>
      <w:r w:rsidRPr="001601E7">
        <w:rPr>
          <w:i/>
          <w:iCs/>
          <w:sz w:val="18"/>
          <w:szCs w:val="18"/>
        </w:rPr>
        <w:t>.</w:t>
      </w:r>
      <w:r>
        <w:rPr>
          <w:i/>
          <w:iCs/>
          <w:sz w:val="18"/>
          <w:szCs w:val="18"/>
        </w:rPr>
        <w:t xml:space="preserve"> </w:t>
      </w:r>
      <w:r w:rsidRPr="0096319E">
        <w:rPr>
          <w:i/>
          <w:iCs/>
          <w:sz w:val="18"/>
          <w:szCs w:val="18"/>
        </w:rPr>
        <w:t xml:space="preserve">Rozkład </w:t>
      </w:r>
      <w:r>
        <w:rPr>
          <w:i/>
          <w:iCs/>
          <w:sz w:val="18"/>
          <w:szCs w:val="18"/>
        </w:rPr>
        <w:t xml:space="preserve">oporności elektrycznej ośrodka na głębokościach 0.25, 0.5, 0.8, 1.1, 1.6 oraz 2.3m </w:t>
      </w:r>
      <w:r w:rsidRPr="0096319E">
        <w:rPr>
          <w:i/>
          <w:iCs/>
          <w:sz w:val="18"/>
          <w:szCs w:val="18"/>
        </w:rPr>
        <w:t>w granicach obszaru badawczego</w:t>
      </w:r>
      <w:r>
        <w:rPr>
          <w:i/>
          <w:iCs/>
          <w:sz w:val="18"/>
          <w:szCs w:val="18"/>
        </w:rPr>
        <w:t xml:space="preserve"> nr 5 z zaznaczonym na czerwono obiektem anomalnym wyinterpretowanym z danych magnetycznych oraz na zielono wyinterpretowanym z danych konduktometrycznych.</w:t>
      </w:r>
    </w:p>
    <w:p w14:paraId="43D67A2B" w14:textId="0AA66EA4" w:rsidR="001601E7" w:rsidRPr="00324ABC" w:rsidRDefault="001601E7" w:rsidP="001601E7">
      <w:pPr>
        <w:pStyle w:val="Akapitzlist"/>
        <w:numPr>
          <w:ilvl w:val="0"/>
          <w:numId w:val="1"/>
        </w:num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Podsumowanie wyników</w:t>
      </w:r>
    </w:p>
    <w:p w14:paraId="14413C45" w14:textId="3A883A04" w:rsidR="004C58F4" w:rsidRPr="004C58F4" w:rsidRDefault="004C58F4" w:rsidP="004C58F4">
      <w:pPr>
        <w:ind w:left="360"/>
        <w:jc w:val="both"/>
        <w:rPr>
          <w:sz w:val="20"/>
          <w:szCs w:val="20"/>
        </w:rPr>
      </w:pPr>
      <w:r w:rsidRPr="004C58F4">
        <w:rPr>
          <w:sz w:val="20"/>
          <w:szCs w:val="20"/>
        </w:rPr>
        <w:t xml:space="preserve">Przeprowadzone pomiary geofizyczne z wykorzystaniem magnetometrii gradientowej oraz metody konduktometrycznej umożliwiły identyfikację szeregu struktur o potencjalnym znaczeniu archeologicznym, jak również rozpoznanie obiektów i zjawisk o charakterze zakłócającym. Charakter oraz intensywność zarejestrowanych anomalii różniły się istotnie pomiędzy analizowanymi poligonami, co wynikało zarówno z lokalnych warunków geologicznych i geomorfologicznych, </w:t>
      </w:r>
      <w:r w:rsidR="00F97445">
        <w:rPr>
          <w:sz w:val="20"/>
          <w:szCs w:val="20"/>
        </w:rPr>
        <w:br/>
      </w:r>
      <w:r w:rsidRPr="004C58F4">
        <w:rPr>
          <w:sz w:val="20"/>
          <w:szCs w:val="20"/>
        </w:rPr>
        <w:t>jak i obecności elementów zakłócających, takich jak ogrodzenia metalowe czy porozrzucane obiekty wtórne.</w:t>
      </w:r>
    </w:p>
    <w:p w14:paraId="33FBD319" w14:textId="77777777" w:rsidR="004C58F4" w:rsidRPr="004C58F4" w:rsidRDefault="004C58F4" w:rsidP="004C58F4">
      <w:pPr>
        <w:ind w:left="360"/>
        <w:jc w:val="both"/>
        <w:rPr>
          <w:sz w:val="20"/>
          <w:szCs w:val="20"/>
        </w:rPr>
      </w:pPr>
      <w:r w:rsidRPr="004C58F4">
        <w:rPr>
          <w:sz w:val="20"/>
          <w:szCs w:val="20"/>
        </w:rPr>
        <w:t>Najbardziej wyraziste i spójne przestrzennie anomalie zarejestrowano na poligonach 1 i 4, gdzie dane obu metod wskazują na obecność struktur o potencjalnym antropogenicznym charakterze. Szczególnie w przypadku poligonu 1 korelacja pomiędzy wynikami magnetycznymi i opornościowymi pozwala na wstępne rozpoznanie anomalii mogącej odpowiadać zbiorowej mogile. Również na poligonie 4, pomimo osłabionych efektów magnetycznych, dane konduktometryczne wykazały obecność struktur mogących mieć znaczenie w kontekście poszukiwawczym.</w:t>
      </w:r>
    </w:p>
    <w:p w14:paraId="5EDE3894" w14:textId="77777777" w:rsidR="004C58F4" w:rsidRPr="004C58F4" w:rsidRDefault="004C58F4" w:rsidP="004C58F4">
      <w:pPr>
        <w:ind w:left="360"/>
        <w:jc w:val="both"/>
        <w:rPr>
          <w:sz w:val="20"/>
          <w:szCs w:val="20"/>
        </w:rPr>
      </w:pPr>
    </w:p>
    <w:p w14:paraId="34295DD1" w14:textId="0E2D5F15" w:rsidR="00324ABC" w:rsidRDefault="004C58F4" w:rsidP="004C58F4">
      <w:pPr>
        <w:ind w:left="360"/>
        <w:jc w:val="both"/>
        <w:rPr>
          <w:sz w:val="20"/>
          <w:szCs w:val="20"/>
        </w:rPr>
      </w:pPr>
      <w:r w:rsidRPr="004C58F4">
        <w:rPr>
          <w:sz w:val="20"/>
          <w:szCs w:val="20"/>
        </w:rPr>
        <w:lastRenderedPageBreak/>
        <w:t>Poligony 2 i 3 cechowały się obecnością zakłóceń związanych z bliskością ogrodzenia oraz zmiennym stopniem zaszumienia danych, jednak także tam zaobserwowano lokalne korelacje pomiędzy obiema metodami. W przypadku poligonu 5, ze względu na znaczne zaśmiecenie terenu oraz nietypowy układ topograficzny, interpretacja danych jest najbardziej problematyczna – jedynie w obrębie hałdy ziemnej w północno-wschodniej części zarejestrowano spójną anomalię konduktometryczną, częściowo potwierdzoną przez dane magnetyczne.</w:t>
      </w:r>
    </w:p>
    <w:p w14:paraId="3ACBEBD1" w14:textId="77777777" w:rsidR="00F97445" w:rsidRPr="00324ABC" w:rsidRDefault="00F97445" w:rsidP="004C58F4">
      <w:pPr>
        <w:ind w:left="360"/>
        <w:jc w:val="both"/>
        <w:rPr>
          <w:b/>
          <w:bCs/>
          <w:sz w:val="20"/>
          <w:szCs w:val="20"/>
        </w:rPr>
      </w:pPr>
    </w:p>
    <w:p w14:paraId="12821F65" w14:textId="13749B6A" w:rsidR="00363594" w:rsidRDefault="007F7DE3" w:rsidP="007F7DE3">
      <w:pPr>
        <w:ind w:left="360"/>
        <w:jc w:val="right"/>
        <w:rPr>
          <w:sz w:val="20"/>
          <w:szCs w:val="20"/>
        </w:rPr>
      </w:pPr>
      <w:r>
        <w:rPr>
          <w:sz w:val="20"/>
          <w:szCs w:val="20"/>
        </w:rPr>
        <w:t>Raport sporządzono 2</w:t>
      </w:r>
      <w:r w:rsidR="00F97445">
        <w:rPr>
          <w:sz w:val="20"/>
          <w:szCs w:val="20"/>
        </w:rPr>
        <w:t>7</w:t>
      </w:r>
      <w:r>
        <w:rPr>
          <w:sz w:val="20"/>
          <w:szCs w:val="20"/>
        </w:rPr>
        <w:t>.03.2024</w:t>
      </w:r>
    </w:p>
    <w:p w14:paraId="6B0A29AD" w14:textId="650CB2BC" w:rsidR="007F7DE3" w:rsidRPr="00505A57" w:rsidRDefault="007F7DE3" w:rsidP="007F7DE3">
      <w:pPr>
        <w:ind w:left="360"/>
        <w:jc w:val="right"/>
        <w:rPr>
          <w:sz w:val="20"/>
          <w:szCs w:val="20"/>
        </w:rPr>
      </w:pPr>
      <w:r>
        <w:rPr>
          <w:sz w:val="20"/>
          <w:szCs w:val="20"/>
        </w:rPr>
        <w:t>dr inż. Szymon Oryński</w:t>
      </w:r>
    </w:p>
    <w:sectPr w:rsidR="007F7DE3" w:rsidRPr="00505A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E55FE6" w14:textId="77777777" w:rsidR="005355C9" w:rsidRDefault="005355C9" w:rsidP="00337DF0">
      <w:pPr>
        <w:spacing w:after="0" w:line="240" w:lineRule="auto"/>
      </w:pPr>
      <w:r>
        <w:separator/>
      </w:r>
    </w:p>
  </w:endnote>
  <w:endnote w:type="continuationSeparator" w:id="0">
    <w:p w14:paraId="72D47E42" w14:textId="77777777" w:rsidR="005355C9" w:rsidRDefault="005355C9" w:rsidP="00337D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92F14A" w14:textId="77777777" w:rsidR="005355C9" w:rsidRDefault="005355C9" w:rsidP="00337DF0">
      <w:pPr>
        <w:spacing w:after="0" w:line="240" w:lineRule="auto"/>
      </w:pPr>
      <w:r>
        <w:separator/>
      </w:r>
    </w:p>
  </w:footnote>
  <w:footnote w:type="continuationSeparator" w:id="0">
    <w:p w14:paraId="2451192F" w14:textId="77777777" w:rsidR="005355C9" w:rsidRDefault="005355C9" w:rsidP="00337D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40E8B"/>
    <w:multiLevelType w:val="multilevel"/>
    <w:tmpl w:val="1AD47B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3119086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2MDe2MDO2MDAxMjcxNbFU0lEKTi0uzszPAykwrgUAmcqCXSwAAAA="/>
  </w:docVars>
  <w:rsids>
    <w:rsidRoot w:val="00840794"/>
    <w:rsid w:val="00033689"/>
    <w:rsid w:val="0004502F"/>
    <w:rsid w:val="00046E61"/>
    <w:rsid w:val="00075B04"/>
    <w:rsid w:val="00083127"/>
    <w:rsid w:val="00090172"/>
    <w:rsid w:val="000918F4"/>
    <w:rsid w:val="000A44C7"/>
    <w:rsid w:val="000A4A50"/>
    <w:rsid w:val="000A4E63"/>
    <w:rsid w:val="000B00D7"/>
    <w:rsid w:val="000B32A0"/>
    <w:rsid w:val="001076FC"/>
    <w:rsid w:val="0013251F"/>
    <w:rsid w:val="001601E7"/>
    <w:rsid w:val="00160B07"/>
    <w:rsid w:val="001A53F4"/>
    <w:rsid w:val="001C0A61"/>
    <w:rsid w:val="001E062B"/>
    <w:rsid w:val="001F4B48"/>
    <w:rsid w:val="00226C00"/>
    <w:rsid w:val="002766EF"/>
    <w:rsid w:val="002C21A1"/>
    <w:rsid w:val="002C7861"/>
    <w:rsid w:val="0030788A"/>
    <w:rsid w:val="0031538A"/>
    <w:rsid w:val="00324ABC"/>
    <w:rsid w:val="00337DF0"/>
    <w:rsid w:val="00350F1E"/>
    <w:rsid w:val="00363594"/>
    <w:rsid w:val="00370D42"/>
    <w:rsid w:val="00371865"/>
    <w:rsid w:val="00376655"/>
    <w:rsid w:val="00382460"/>
    <w:rsid w:val="00383F1A"/>
    <w:rsid w:val="003E7621"/>
    <w:rsid w:val="00405A60"/>
    <w:rsid w:val="00413E3D"/>
    <w:rsid w:val="00460C33"/>
    <w:rsid w:val="00462931"/>
    <w:rsid w:val="00472B0B"/>
    <w:rsid w:val="00480DCE"/>
    <w:rsid w:val="004B3DF2"/>
    <w:rsid w:val="004C58F4"/>
    <w:rsid w:val="004D4B9F"/>
    <w:rsid w:val="00505A57"/>
    <w:rsid w:val="005152CF"/>
    <w:rsid w:val="005355C9"/>
    <w:rsid w:val="0057099F"/>
    <w:rsid w:val="00611A01"/>
    <w:rsid w:val="006348F3"/>
    <w:rsid w:val="00686CAD"/>
    <w:rsid w:val="006A7CE3"/>
    <w:rsid w:val="006C1C3E"/>
    <w:rsid w:val="006C58D0"/>
    <w:rsid w:val="006D6E82"/>
    <w:rsid w:val="006E32FF"/>
    <w:rsid w:val="0071187E"/>
    <w:rsid w:val="00721E6F"/>
    <w:rsid w:val="00723FC8"/>
    <w:rsid w:val="00727208"/>
    <w:rsid w:val="0074689A"/>
    <w:rsid w:val="00760B63"/>
    <w:rsid w:val="00773EF9"/>
    <w:rsid w:val="00793774"/>
    <w:rsid w:val="0079598A"/>
    <w:rsid w:val="007B4278"/>
    <w:rsid w:val="007D3C21"/>
    <w:rsid w:val="007D4928"/>
    <w:rsid w:val="007D6358"/>
    <w:rsid w:val="007F0838"/>
    <w:rsid w:val="007F7DE3"/>
    <w:rsid w:val="008011DF"/>
    <w:rsid w:val="00840794"/>
    <w:rsid w:val="0085184C"/>
    <w:rsid w:val="00863848"/>
    <w:rsid w:val="00872488"/>
    <w:rsid w:val="008C5ED7"/>
    <w:rsid w:val="00902A9E"/>
    <w:rsid w:val="00923F28"/>
    <w:rsid w:val="00947822"/>
    <w:rsid w:val="0096319E"/>
    <w:rsid w:val="00974B65"/>
    <w:rsid w:val="00975841"/>
    <w:rsid w:val="00992954"/>
    <w:rsid w:val="009B2238"/>
    <w:rsid w:val="009B47C6"/>
    <w:rsid w:val="009F2C00"/>
    <w:rsid w:val="00A52C54"/>
    <w:rsid w:val="00A5642A"/>
    <w:rsid w:val="00A669D5"/>
    <w:rsid w:val="00A76235"/>
    <w:rsid w:val="00AB78DD"/>
    <w:rsid w:val="00AE0B0F"/>
    <w:rsid w:val="00B13A24"/>
    <w:rsid w:val="00B9396A"/>
    <w:rsid w:val="00BB04FE"/>
    <w:rsid w:val="00C07A6F"/>
    <w:rsid w:val="00C255B2"/>
    <w:rsid w:val="00C41535"/>
    <w:rsid w:val="00C65127"/>
    <w:rsid w:val="00C71EF6"/>
    <w:rsid w:val="00CA7A3B"/>
    <w:rsid w:val="00CB3B22"/>
    <w:rsid w:val="00CE51C8"/>
    <w:rsid w:val="00CF70E9"/>
    <w:rsid w:val="00D25492"/>
    <w:rsid w:val="00D264C3"/>
    <w:rsid w:val="00D429B5"/>
    <w:rsid w:val="00D55F98"/>
    <w:rsid w:val="00D94982"/>
    <w:rsid w:val="00DB027E"/>
    <w:rsid w:val="00DD0401"/>
    <w:rsid w:val="00E47726"/>
    <w:rsid w:val="00EB69F4"/>
    <w:rsid w:val="00EC113B"/>
    <w:rsid w:val="00EC40E7"/>
    <w:rsid w:val="00EC4E9A"/>
    <w:rsid w:val="00EC76E1"/>
    <w:rsid w:val="00EE62FE"/>
    <w:rsid w:val="00F875E6"/>
    <w:rsid w:val="00F97445"/>
    <w:rsid w:val="00FB17D2"/>
    <w:rsid w:val="00FC2BF7"/>
    <w:rsid w:val="00FF3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CBB6F29"/>
  <w15:chartTrackingRefBased/>
  <w15:docId w15:val="{4A440667-B9AA-4362-9440-CB78040AE9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40794"/>
    <w:rPr>
      <w:kern w:val="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4079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4079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4079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4079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4079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4079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4079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4079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4079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4079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4079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4079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40794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40794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40794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40794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40794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40794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4079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4079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4079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4079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4079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40794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4079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40794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4079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40794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40794"/>
    <w:rPr>
      <w:b/>
      <w:bCs/>
      <w:smallCaps/>
      <w:color w:val="0F4761" w:themeColor="accent1" w:themeShade="BF"/>
      <w:spacing w:val="5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37DF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37DF0"/>
    <w:rPr>
      <w:kern w:val="0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37DF0"/>
    <w:rPr>
      <w:vertAlign w:val="superscript"/>
    </w:rPr>
  </w:style>
  <w:style w:type="paragraph" w:styleId="Tekstpodstawowy">
    <w:name w:val="Body Text"/>
    <w:basedOn w:val="Normalny"/>
    <w:link w:val="TekstpodstawowyZnak"/>
    <w:uiPriority w:val="99"/>
    <w:unhideWhenUsed/>
    <w:rsid w:val="008011D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8011DF"/>
    <w:rPr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9526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7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18</Pages>
  <Words>4470</Words>
  <Characters>26825</Characters>
  <Application>Microsoft Office Word</Application>
  <DocSecurity>0</DocSecurity>
  <Lines>223</Lines>
  <Paragraphs>62</Paragraphs>
  <ScaleCrop>false</ScaleCrop>
  <Company/>
  <LinksUpToDate>false</LinksUpToDate>
  <CharactersWithSpaces>31233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Szymon Orynski</dc:creator>
  <cp:keywords/>
  <dc:description/>
  <cp:lastModifiedBy>Szymon Orynski</cp:lastModifiedBy>
  <cp:revision>4</cp:revision>
  <dcterms:created xsi:type="dcterms:W3CDTF">2025-03-26T23:22:00Z</dcterms:created>
  <dcterms:modified xsi:type="dcterms:W3CDTF">2025-03-26T23:39:00Z</dcterms:modified>
</cp:coreProperties>
</file>